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101" w:type="dxa"/>
        <w:jc w:val="left"/>
        <w:tblInd w:w="79" w:type="dxa"/>
        <w:tblLayout w:type="fixed"/>
        <w:tblCellMar>
          <w:top w:w="0" w:type="dxa"/>
          <w:left w:w="108" w:type="dxa"/>
          <w:bottom w:w="0" w:type="dxa"/>
          <w:right w:w="108" w:type="dxa"/>
        </w:tblCellMar>
      </w:tblPr>
      <w:tblGrid>
        <w:gridCol w:w="2953"/>
        <w:gridCol w:w="3220"/>
        <w:gridCol w:w="2928"/>
      </w:tblGrid>
      <w:tr>
        <w:trPr/>
        <w:tc>
          <w:tcPr>
            <w:tcW w:w="2953" w:type="dxa"/>
            <w:tcBorders/>
            <w:shd w:fill="auto" w:val="clear"/>
          </w:tcPr>
          <w:p>
            <w:pPr>
              <w:pStyle w:val="Normal"/>
              <w:widowControl w:val="false"/>
              <w:snapToGrid w:val="false"/>
              <w:spacing w:lineRule="auto" w:line="276"/>
              <w:jc w:val="center"/>
              <w:rPr/>
            </w:pPr>
            <w:r>
              <w:rPr/>
            </w:r>
          </w:p>
        </w:tc>
        <w:tc>
          <w:tcPr>
            <w:tcW w:w="3220" w:type="dxa"/>
            <w:tcBorders/>
            <w:shd w:fill="auto" w:val="clear"/>
          </w:tcPr>
          <w:p>
            <w:pPr>
              <w:pStyle w:val="Normal"/>
              <w:widowControl w:val="false"/>
              <w:snapToGrid w:val="false"/>
              <w:spacing w:lineRule="auto" w:line="276"/>
              <w:jc w:val="center"/>
              <w:rPr>
                <w:b/>
                <w:sz w:val="40"/>
                <w:lang w:val="ru-RU" w:eastAsia="ru-RU"/>
              </w:rPr>
            </w:pPr>
            <w:r>
              <w:rPr/>
              <w:drawing>
                <wp:inline distT="0" distB="0" distL="0" distR="0">
                  <wp:extent cx="476885" cy="71882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476885" cy="718820"/>
                          </a:xfrm>
                          <a:prstGeom prst="rect">
                            <a:avLst/>
                          </a:prstGeom>
                        </pic:spPr>
                      </pic:pic>
                    </a:graphicData>
                  </a:graphic>
                </wp:inline>
              </w:drawing>
            </w:r>
          </w:p>
        </w:tc>
        <w:tc>
          <w:tcPr>
            <w:tcW w:w="2928" w:type="dxa"/>
            <w:tcBorders/>
            <w:shd w:fill="auto" w:val="clear"/>
          </w:tcPr>
          <w:p>
            <w:pPr>
              <w:pStyle w:val="Normal"/>
              <w:widowControl w:val="false"/>
              <w:snapToGrid w:val="false"/>
              <w:spacing w:lineRule="auto" w:line="276"/>
              <w:jc w:val="center"/>
              <w:rPr>
                <w:b w:val="false"/>
                <w:bCs w:val="false"/>
                <w:i/>
                <w:i/>
                <w:iCs/>
                <w:sz w:val="32"/>
                <w:szCs w:val="32"/>
                <w:lang w:val="ru-RU"/>
              </w:rPr>
            </w:pPr>
            <w:r>
              <w:rPr>
                <w:b/>
                <w:bCs w:val="false"/>
                <w:i/>
                <w:iCs/>
                <w:sz w:val="32"/>
                <w:szCs w:val="32"/>
                <w:lang w:val="ru-RU"/>
              </w:rPr>
            </w:r>
          </w:p>
        </w:tc>
      </w:tr>
      <w:tr>
        <w:trPr/>
        <w:tc>
          <w:tcPr>
            <w:tcW w:w="9101" w:type="dxa"/>
            <w:gridSpan w:val="3"/>
            <w:tcBorders/>
            <w:shd w:fill="auto" w:val="clear"/>
          </w:tcPr>
          <w:p>
            <w:pPr>
              <w:pStyle w:val="Normal"/>
              <w:widowControl w:val="false"/>
              <w:snapToGrid w:val="false"/>
              <w:spacing w:lineRule="auto" w:line="276"/>
              <w:jc w:val="center"/>
              <w:rPr>
                <w:b/>
                <w:spacing w:val="-20"/>
                <w:sz w:val="28"/>
                <w:szCs w:val="28"/>
              </w:rPr>
            </w:pPr>
            <w:r>
              <w:rPr>
                <w:b/>
                <w:spacing w:val="-20"/>
                <w:sz w:val="28"/>
                <w:szCs w:val="28"/>
              </w:rPr>
              <w:t>АДМИНИСТРАЦИЯ САВИНСКОГО МУНИЦИПАЛЬНОГО РАЙОНА</w:t>
            </w:r>
          </w:p>
          <w:p>
            <w:pPr>
              <w:pStyle w:val="Normal"/>
              <w:widowControl w:val="false"/>
              <w:spacing w:lineRule="auto" w:line="276"/>
              <w:jc w:val="center"/>
              <w:rPr>
                <w:b/>
                <w:sz w:val="28"/>
                <w:szCs w:val="28"/>
              </w:rPr>
            </w:pPr>
            <w:r>
              <w:rPr>
                <w:b/>
                <w:sz w:val="28"/>
                <w:szCs w:val="28"/>
              </w:rPr>
              <w:t>ИВАНОВСКОЙ ОБЛАСТИ</w:t>
            </w:r>
          </w:p>
          <w:p>
            <w:pPr>
              <w:pStyle w:val="Normal"/>
              <w:widowControl w:val="false"/>
              <w:spacing w:lineRule="auto" w:line="276"/>
              <w:jc w:val="center"/>
              <w:rPr/>
            </w:pPr>
            <w:r>
              <w:rPr/>
            </w:r>
          </w:p>
        </w:tc>
      </w:tr>
    </w:tbl>
    <w:p>
      <w:pPr>
        <w:pStyle w:val="Normal"/>
        <w:rPr>
          <w:sz w:val="24"/>
          <w:szCs w:val="24"/>
          <w:u w:val="single"/>
          <w:lang w:eastAsia="en-US"/>
        </w:rPr>
      </w:pPr>
      <w:r>
        <w:rPr>
          <w:sz w:val="24"/>
          <w:szCs w:val="24"/>
          <w:u w:val="single"/>
          <w:lang w:eastAsia="en-US"/>
        </w:rPr>
      </w:r>
    </w:p>
    <w:p>
      <w:pPr>
        <w:pStyle w:val="Normal"/>
        <w:jc w:val="center"/>
        <w:rPr>
          <w:b/>
          <w:sz w:val="28"/>
          <w:szCs w:val="28"/>
        </w:rPr>
      </w:pPr>
      <w:r>
        <w:rPr>
          <w:b/>
          <w:sz w:val="28"/>
          <w:szCs w:val="28"/>
        </w:rPr>
        <w:t>ПОСТАНОВЛЕНИЕ</w:t>
      </w:r>
    </w:p>
    <w:p>
      <w:pPr>
        <w:pStyle w:val="Normal"/>
        <w:jc w:val="center"/>
        <w:rPr>
          <w:b/>
          <w:sz w:val="28"/>
          <w:szCs w:val="28"/>
        </w:rPr>
      </w:pPr>
      <w:r>
        <w:rPr>
          <w:b/>
          <w:sz w:val="28"/>
          <w:szCs w:val="28"/>
        </w:rPr>
      </w:r>
    </w:p>
    <w:p>
      <w:pPr>
        <w:pStyle w:val="Normal"/>
        <w:jc w:val="center"/>
        <w:rPr/>
      </w:pPr>
      <w:r>
        <w:rPr>
          <w:b/>
          <w:sz w:val="28"/>
          <w:szCs w:val="28"/>
        </w:rPr>
        <w:t>от 10.11.2023 № 852-п</w:t>
      </w:r>
    </w:p>
    <w:p>
      <w:pPr>
        <w:pStyle w:val="Normal"/>
        <w:jc w:val="center"/>
        <w:rPr>
          <w:b/>
          <w:sz w:val="28"/>
          <w:szCs w:val="28"/>
        </w:rPr>
      </w:pPr>
      <w:r>
        <w:rPr>
          <w:b/>
          <w:sz w:val="28"/>
          <w:szCs w:val="28"/>
        </w:rPr>
        <w:t>п. Савино</w:t>
      </w:r>
    </w:p>
    <w:p>
      <w:pPr>
        <w:pStyle w:val="ConsPlusTitle"/>
        <w:spacing w:before="0" w:after="0"/>
        <w:contextualSpacing/>
        <w:jc w:val="center"/>
        <w:rPr>
          <w:rFonts w:ascii="Times New Roman" w:hAnsi="Times New Roman" w:cs="Times New Roman"/>
          <w:bCs/>
        </w:rPr>
      </w:pPr>
      <w:r>
        <w:rPr>
          <w:rFonts w:cs="Times New Roman" w:ascii="Times New Roman" w:hAnsi="Times New Roman"/>
          <w:bCs/>
        </w:rPr>
      </w:r>
    </w:p>
    <w:p>
      <w:pPr>
        <w:pStyle w:val="ConsPlusTitle"/>
        <w:spacing w:before="0" w:after="0"/>
        <w:contextualSpacing/>
        <w:jc w:val="center"/>
        <w:rPr/>
      </w:pPr>
      <w:r>
        <w:rPr>
          <w:rFonts w:cs="Times New Roman" w:ascii="Times New Roman" w:hAnsi="Times New Roman"/>
          <w:b/>
          <w:bCs/>
          <w:sz w:val="28"/>
          <w:szCs w:val="28"/>
        </w:rPr>
        <w:t>О порядке составления и утверждения отчета о результатах деятельности</w:t>
      </w:r>
    </w:p>
    <w:p>
      <w:pPr>
        <w:pStyle w:val="ConsPlusTitle"/>
        <w:spacing w:before="0" w:after="0"/>
        <w:contextualSpacing/>
        <w:jc w:val="center"/>
        <w:rPr/>
      </w:pPr>
      <w:r>
        <w:rPr>
          <w:rFonts w:cs="Times New Roman" w:ascii="Times New Roman" w:hAnsi="Times New Roman"/>
          <w:b/>
          <w:bCs/>
          <w:sz w:val="28"/>
          <w:szCs w:val="28"/>
        </w:rPr>
        <w:t>муниципального учреждения и об использовании закрепленного за ним муниципального имущества</w:t>
      </w:r>
    </w:p>
    <w:p>
      <w:pPr>
        <w:pStyle w:val="ConsPlusTitle"/>
        <w:spacing w:before="0" w:after="0"/>
        <w:contextualSpacing/>
        <w:jc w:val="center"/>
        <w:rPr>
          <w:rFonts w:ascii="Times New Roman" w:hAnsi="Times New Roman" w:cs="Times New Roman"/>
          <w:b w:val="false"/>
          <w:sz w:val="24"/>
          <w:szCs w:val="24"/>
        </w:rPr>
      </w:pPr>
      <w:r>
        <w:rPr>
          <w:rFonts w:cs="Times New Roman" w:ascii="Times New Roman" w:hAnsi="Times New Roman"/>
          <w:b w:val="false"/>
          <w:sz w:val="24"/>
          <w:szCs w:val="24"/>
        </w:rPr>
      </w:r>
    </w:p>
    <w:p>
      <w:pPr>
        <w:pStyle w:val="ConsPlusTitle"/>
        <w:spacing w:before="0" w:after="0"/>
        <w:contextualSpacing/>
        <w:jc w:val="center"/>
        <w:rPr>
          <w:rFonts w:ascii="Times New Roman" w:hAnsi="Times New Roman" w:cs="Times New Roman"/>
          <w:b w:val="false"/>
          <w:sz w:val="24"/>
          <w:szCs w:val="24"/>
        </w:rPr>
      </w:pPr>
      <w:r>
        <w:rPr>
          <w:rFonts w:cs="Times New Roman" w:ascii="Times New Roman" w:hAnsi="Times New Roman"/>
          <w:b w:val="false"/>
          <w:sz w:val="24"/>
          <w:szCs w:val="24"/>
        </w:rPr>
      </w:r>
    </w:p>
    <w:p>
      <w:pPr>
        <w:pStyle w:val="Normal"/>
        <w:spacing w:before="0" w:after="119"/>
        <w:ind w:left="0" w:right="0" w:firstLine="709"/>
        <w:jc w:val="both"/>
        <w:rPr/>
      </w:pPr>
      <w:r>
        <w:rPr>
          <w:sz w:val="28"/>
          <w:szCs w:val="28"/>
        </w:rPr>
        <w:t xml:space="preserve">В соответствии с подпунктом 10 пункта 3.3 статьи 32 Федерального закона от 12.01.1996 № 7-ФЗ «О некоммерческих организациях», приказом Министерства финансов Российской Федерации от 02.11.2021 №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администрация Савинского муниципального района                          </w:t>
      </w:r>
      <w:r>
        <w:rPr>
          <w:b/>
          <w:sz w:val="28"/>
          <w:szCs w:val="28"/>
        </w:rPr>
        <w:t>п о с т а н о в л я е т:</w:t>
      </w:r>
    </w:p>
    <w:p>
      <w:pPr>
        <w:pStyle w:val="ConsPlusNormal"/>
        <w:numPr>
          <w:ilvl w:val="0"/>
          <w:numId w:val="1"/>
        </w:numPr>
        <w:tabs>
          <w:tab w:val="clear" w:pos="720"/>
          <w:tab w:val="left" w:pos="1134" w:leader="none"/>
        </w:tabs>
        <w:spacing w:before="0" w:after="113"/>
        <w:ind w:firstLine="709"/>
        <w:jc w:val="both"/>
        <w:rPr/>
      </w:pPr>
      <w:r>
        <w:rPr>
          <w:rFonts w:cs="Times New Roman" w:ascii="Times New Roman" w:hAnsi="Times New Roman"/>
          <w:sz w:val="28"/>
          <w:szCs w:val="28"/>
        </w:rPr>
        <w:t xml:space="preserve">Утвердить </w:t>
      </w:r>
      <w:bookmarkStart w:id="0" w:name="__DdeLink__83503_284418651"/>
      <w:r>
        <w:rPr>
          <w:rFonts w:cs="Times New Roman" w:ascii="Times New Roman" w:hAnsi="Times New Roman"/>
          <w:sz w:val="28"/>
          <w:szCs w:val="28"/>
        </w:rPr>
        <w:t>Порядок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w:t>
      </w:r>
      <w:bookmarkEnd w:id="0"/>
      <w:r>
        <w:rPr>
          <w:rFonts w:cs="Times New Roman" w:ascii="Times New Roman" w:hAnsi="Times New Roman"/>
          <w:sz w:val="28"/>
          <w:szCs w:val="28"/>
        </w:rPr>
        <w:t xml:space="preserve"> согласно приложению к настоящему постановлению.</w:t>
      </w:r>
    </w:p>
    <w:p>
      <w:pPr>
        <w:pStyle w:val="ConsPlusNormal"/>
        <w:numPr>
          <w:ilvl w:val="0"/>
          <w:numId w:val="1"/>
        </w:numPr>
        <w:tabs>
          <w:tab w:val="clear" w:pos="720"/>
          <w:tab w:val="left" w:pos="1134" w:leader="none"/>
        </w:tabs>
        <w:spacing w:before="0" w:after="113"/>
        <w:ind w:firstLine="709"/>
        <w:jc w:val="both"/>
        <w:rPr/>
      </w:pPr>
      <w:r>
        <w:rPr>
          <w:rFonts w:cs="Times New Roman" w:ascii="Times New Roman" w:hAnsi="Times New Roman"/>
          <w:sz w:val="28"/>
          <w:szCs w:val="28"/>
        </w:rPr>
        <w:t>В целях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 о</w:t>
      </w:r>
      <w:r>
        <w:rPr>
          <w:rFonts w:ascii="Times New Roman" w:hAnsi="Times New Roman"/>
          <w:b w:val="false"/>
          <w:i w:val="false"/>
          <w:strike w:val="false"/>
          <w:dstrike w:val="false"/>
          <w:sz w:val="28"/>
          <w:szCs w:val="28"/>
          <w:u w:val="none"/>
        </w:rPr>
        <w:t xml:space="preserve">рганам местного самоуправления, </w:t>
      </w:r>
      <w:bookmarkStart w:id="1" w:name="__DdeLink__105317_284418651"/>
      <w:r>
        <w:rPr>
          <w:rFonts w:ascii="Times New Roman" w:hAnsi="Times New Roman"/>
          <w:b w:val="false"/>
          <w:i w:val="false"/>
          <w:strike w:val="false"/>
          <w:dstrike w:val="false"/>
          <w:sz w:val="28"/>
          <w:szCs w:val="28"/>
          <w:u w:val="none"/>
        </w:rPr>
        <w:t>осуществляющим функции и полномочия учредителя муниципального учреждения</w:t>
      </w:r>
      <w:bookmarkEnd w:id="1"/>
      <w:r>
        <w:rPr>
          <w:rFonts w:ascii="Times New Roman" w:hAnsi="Times New Roman"/>
          <w:b w:val="false"/>
          <w:i w:val="false"/>
          <w:strike w:val="false"/>
          <w:dstrike w:val="false"/>
          <w:sz w:val="28"/>
          <w:szCs w:val="28"/>
          <w:u w:val="none"/>
        </w:rPr>
        <w:t>, довести настоящее постановление до подведомственных учреждений.</w:t>
      </w:r>
    </w:p>
    <w:p>
      <w:pPr>
        <w:pStyle w:val="Normal"/>
        <w:numPr>
          <w:ilvl w:val="0"/>
          <w:numId w:val="1"/>
        </w:numPr>
        <w:tabs>
          <w:tab w:val="clear" w:pos="720"/>
          <w:tab w:val="left" w:pos="1134" w:leader="none"/>
        </w:tabs>
        <w:spacing w:before="0" w:after="113"/>
        <w:ind w:firstLine="709"/>
        <w:jc w:val="both"/>
        <w:rPr/>
      </w:pPr>
      <w:r>
        <w:rPr>
          <w:sz w:val="28"/>
          <w:szCs w:val="28"/>
        </w:rPr>
        <w:t>Настоящее постановление вступает в силу с момента официального опубликования и применяется, начиная с представления отчета за 2022 год и последующие периоды.</w:t>
      </w:r>
    </w:p>
    <w:p>
      <w:pPr>
        <w:pStyle w:val="Normal"/>
        <w:numPr>
          <w:ilvl w:val="0"/>
          <w:numId w:val="1"/>
        </w:numPr>
        <w:tabs>
          <w:tab w:val="clear" w:pos="720"/>
          <w:tab w:val="left" w:pos="1134" w:leader="none"/>
        </w:tabs>
        <w:spacing w:before="0" w:after="113"/>
        <w:ind w:firstLine="709"/>
        <w:jc w:val="both"/>
        <w:rPr/>
      </w:pPr>
      <w:r>
        <w:rPr>
          <w:sz w:val="28"/>
          <w:szCs w:val="28"/>
        </w:rPr>
        <w:t xml:space="preserve">С момента вступления в силу настоящего постановления признать утратившим силу постановление администрации Савинского муниципального района Ивановской области от 01.12.2011 № 643-а «Об утверждении </w:t>
      </w:r>
      <w:r>
        <w:rPr>
          <w:rFonts w:cs="Times New Roman"/>
          <w:sz w:val="28"/>
          <w:szCs w:val="28"/>
        </w:rPr>
        <w:t>Порядка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w:t>
      </w:r>
    </w:p>
    <w:p>
      <w:pPr>
        <w:pStyle w:val="Normal"/>
        <w:numPr>
          <w:ilvl w:val="0"/>
          <w:numId w:val="1"/>
        </w:numPr>
        <w:tabs>
          <w:tab w:val="clear" w:pos="720"/>
          <w:tab w:val="left" w:pos="1418" w:leader="none"/>
        </w:tabs>
        <w:spacing w:before="0" w:after="113"/>
        <w:ind w:firstLine="709"/>
        <w:jc w:val="both"/>
        <w:rPr/>
      </w:pPr>
      <w:r>
        <w:rPr>
          <w:color w:val="000000"/>
          <w:sz w:val="28"/>
          <w:szCs w:val="28"/>
        </w:rPr>
        <w:t>Постановление опубликовать на официальном сайте Савинского  муниципального района.</w:t>
      </w:r>
    </w:p>
    <w:p>
      <w:pPr>
        <w:pStyle w:val="Normal"/>
        <w:numPr>
          <w:ilvl w:val="0"/>
          <w:numId w:val="1"/>
        </w:numPr>
        <w:tabs>
          <w:tab w:val="clear" w:pos="720"/>
          <w:tab w:val="left" w:pos="1418" w:leader="none"/>
        </w:tabs>
        <w:spacing w:before="0" w:after="113"/>
        <w:ind w:firstLine="709"/>
        <w:jc w:val="both"/>
        <w:rPr/>
      </w:pPr>
      <w:r>
        <w:rPr>
          <w:sz w:val="28"/>
          <w:szCs w:val="28"/>
        </w:rPr>
        <w:t xml:space="preserve">Контроль за исполнением настоящего постановления возложить на начальников структурных подразделений администрации Савинского муниципального района Ивановской области </w:t>
      </w:r>
      <w:r>
        <w:rPr>
          <w:b w:val="false"/>
          <w:i w:val="false"/>
          <w:strike w:val="false"/>
          <w:dstrike w:val="false"/>
          <w:sz w:val="28"/>
          <w:szCs w:val="28"/>
          <w:u w:val="none"/>
        </w:rPr>
        <w:t>осуществляющих функции и полномочия учредителя муниципального учреждения</w:t>
      </w:r>
      <w:r>
        <w:rPr>
          <w:sz w:val="28"/>
          <w:szCs w:val="28"/>
        </w:rPr>
        <w:t>.</w:t>
      </w:r>
    </w:p>
    <w:p>
      <w:pPr>
        <w:pStyle w:val="Normal"/>
        <w:numPr>
          <w:ilvl w:val="0"/>
          <w:numId w:val="0"/>
        </w:numPr>
        <w:tabs>
          <w:tab w:val="clear" w:pos="720"/>
          <w:tab w:val="left" w:pos="1418" w:leader="none"/>
        </w:tabs>
        <w:ind w:left="0" w:hanging="0"/>
        <w:jc w:val="both"/>
        <w:rPr>
          <w:sz w:val="28"/>
          <w:szCs w:val="28"/>
        </w:rPr>
      </w:pPr>
      <w:r>
        <w:rPr>
          <w:sz w:val="28"/>
          <w:szCs w:val="28"/>
        </w:rPr>
      </w:r>
    </w:p>
    <w:p>
      <w:pPr>
        <w:pStyle w:val="Normal"/>
        <w:numPr>
          <w:ilvl w:val="0"/>
          <w:numId w:val="0"/>
        </w:numPr>
        <w:spacing w:before="0" w:after="0"/>
        <w:ind w:left="0" w:right="0" w:hanging="0"/>
        <w:jc w:val="both"/>
        <w:rPr>
          <w:sz w:val="28"/>
          <w:szCs w:val="28"/>
        </w:rPr>
      </w:pPr>
      <w:r>
        <w:rPr>
          <w:sz w:val="28"/>
          <w:szCs w:val="28"/>
        </w:rPr>
      </w:r>
    </w:p>
    <w:p>
      <w:pPr>
        <w:pStyle w:val="Normal"/>
        <w:numPr>
          <w:ilvl w:val="0"/>
          <w:numId w:val="0"/>
        </w:numPr>
        <w:spacing w:before="0" w:after="0"/>
        <w:ind w:left="0" w:right="0" w:hanging="0"/>
        <w:jc w:val="both"/>
        <w:rPr>
          <w:sz w:val="28"/>
          <w:szCs w:val="28"/>
        </w:rPr>
      </w:pPr>
      <w:r>
        <w:rPr>
          <w:sz w:val="28"/>
          <w:szCs w:val="28"/>
        </w:rPr>
      </w:r>
    </w:p>
    <w:p>
      <w:pPr>
        <w:pStyle w:val="Normal"/>
        <w:spacing w:before="0" w:after="113"/>
        <w:ind w:left="0" w:right="0" w:hanging="0"/>
        <w:jc w:val="both"/>
        <w:rPr/>
      </w:pPr>
      <w:r>
        <w:rPr>
          <w:b/>
          <w:bCs/>
          <w:sz w:val="28"/>
          <w:szCs w:val="28"/>
        </w:rPr>
        <w:t>Глава Савинского муниципального района                               С.В. Поварков</w:t>
      </w:r>
      <w:r>
        <w:br w:type="page"/>
      </w:r>
    </w:p>
    <w:p>
      <w:pPr>
        <w:pStyle w:val="Normal"/>
        <w:spacing w:lineRule="auto" w:line="276" w:before="0" w:after="200"/>
        <w:jc w:val="right"/>
        <w:rPr>
          <w:sz w:val="28"/>
          <w:szCs w:val="28"/>
        </w:rPr>
      </w:pPr>
      <w:r>
        <w:rPr>
          <w:sz w:val="28"/>
          <w:szCs w:val="28"/>
        </w:rPr>
        <mc:AlternateContent>
          <mc:Choice Requires="wps">
            <w:drawing>
              <wp:anchor behindDoc="0" distT="0" distB="0" distL="0" distR="0" simplePos="0" locked="0" layoutInCell="0" allowOverlap="1" relativeHeight="3">
                <wp:simplePos x="0" y="0"/>
                <wp:positionH relativeFrom="column">
                  <wp:posOffset>3357245</wp:posOffset>
                </wp:positionH>
                <wp:positionV relativeFrom="paragraph">
                  <wp:posOffset>46355</wp:posOffset>
                </wp:positionV>
                <wp:extent cx="2687320" cy="1021080"/>
                <wp:effectExtent l="0" t="0" r="0" b="0"/>
                <wp:wrapNone/>
                <wp:docPr id="2" name="Фигура1"/>
                <a:graphic xmlns:a="http://schemas.openxmlformats.org/drawingml/2006/main">
                  <a:graphicData uri="http://schemas.microsoft.com/office/word/2010/wordprocessingShape">
                    <wps:wsp>
                      <wps:cNvSpPr/>
                      <wps:spPr>
                        <a:xfrm>
                          <a:off x="0" y="0"/>
                          <a:ext cx="2687400" cy="1020960"/>
                        </a:xfrm>
                        <a:prstGeom prst="rect">
                          <a:avLst/>
                        </a:prstGeom>
                        <a:noFill/>
                        <a:ln w="0">
                          <a:noFill/>
                        </a:ln>
                      </wps:spPr>
                      <wps:style>
                        <a:lnRef idx="0"/>
                        <a:fillRef idx="0"/>
                        <a:effectRef idx="0"/>
                        <a:fontRef idx="minor"/>
                      </wps:style>
                      <wps:txbx>
                        <w:txbxContent>
                          <w:p>
                            <w:pPr>
                              <w:pStyle w:val="Style23"/>
                              <w:overflowPunct w:val="false"/>
                              <w:rPr>
                                <w:color w:val="000000"/>
                              </w:rPr>
                            </w:pPr>
                            <w:r>
                              <w:rPr>
                                <w:rFonts w:eastAsia="Calibri" w:cs="" w:cstheme="minorBidi" w:eastAsiaTheme="minorHAnsi"/>
                                <w:color w:val="000000"/>
                                <w:sz w:val="28"/>
                                <w:szCs w:val="28"/>
                                <w:lang w:eastAsia="en-US"/>
                              </w:rPr>
                              <w:t>Приложение</w:t>
                            </w:r>
                          </w:p>
                          <w:p>
                            <w:pPr>
                              <w:pStyle w:val="Style23"/>
                              <w:overflowPunct w:val="false"/>
                              <w:jc w:val="both"/>
                              <w:rPr>
                                <w:color w:val="000000"/>
                              </w:rPr>
                            </w:pPr>
                            <w:r>
                              <w:rPr>
                                <w:rFonts w:eastAsia="Calibri" w:cs="" w:cstheme="minorBidi" w:eastAsiaTheme="minorHAnsi"/>
                                <w:color w:val="000000"/>
                                <w:sz w:val="28"/>
                                <w:szCs w:val="28"/>
                                <w:lang w:eastAsia="en-US"/>
                              </w:rPr>
                              <w:t>к постановлению администрации Савинского муниципального района Ивановской области</w:t>
                            </w:r>
                          </w:p>
                          <w:p>
                            <w:pPr>
                              <w:pStyle w:val="Style23"/>
                              <w:overflowPunct w:val="false"/>
                              <w:rPr>
                                <w:color w:val="000000"/>
                              </w:rPr>
                            </w:pPr>
                            <w:r>
                              <w:rPr>
                                <w:rFonts w:eastAsia="Calibri" w:cs="" w:cstheme="minorBidi" w:eastAsiaTheme="minorHAnsi"/>
                                <w:color w:val="000000"/>
                                <w:sz w:val="28"/>
                                <w:szCs w:val="28"/>
                                <w:lang w:eastAsia="en-US"/>
                              </w:rPr>
                              <w:t>от 10.11.2023 № 852-п</w:t>
                            </w:r>
                          </w:p>
                        </w:txbxContent>
                      </wps:txbx>
                      <wps:bodyPr lIns="0" rIns="0" tIns="0" bIns="0" anchor="t">
                        <a:spAutoFit/>
                      </wps:bodyPr>
                    </wps:wsp>
                  </a:graphicData>
                </a:graphic>
              </wp:anchor>
            </w:drawing>
          </mc:Choice>
          <mc:Fallback>
            <w:pict>
              <v:rect id="shape_0" ID="Фигура1" path="m0,0l-2147483645,0l-2147483645,-2147483646l0,-2147483646xe" stroked="f" o:allowincell="f" style="position:absolute;margin-left:264.35pt;margin-top:3.65pt;width:211.55pt;height:80.35pt;mso-wrap-style:square;v-text-anchor:top">
                <v:fill o:detectmouseclick="t" on="false"/>
                <v:stroke color="#3465a4" joinstyle="round" endcap="flat"/>
                <v:textbox>
                  <w:txbxContent>
                    <w:p>
                      <w:pPr>
                        <w:pStyle w:val="Style23"/>
                        <w:overflowPunct w:val="false"/>
                        <w:rPr>
                          <w:color w:val="000000"/>
                        </w:rPr>
                      </w:pPr>
                      <w:r>
                        <w:rPr>
                          <w:rFonts w:eastAsia="Calibri" w:cs="" w:cstheme="minorBidi" w:eastAsiaTheme="minorHAnsi"/>
                          <w:color w:val="000000"/>
                          <w:sz w:val="28"/>
                          <w:szCs w:val="28"/>
                          <w:lang w:eastAsia="en-US"/>
                        </w:rPr>
                        <w:t>Приложение</w:t>
                      </w:r>
                    </w:p>
                    <w:p>
                      <w:pPr>
                        <w:pStyle w:val="Style23"/>
                        <w:overflowPunct w:val="false"/>
                        <w:jc w:val="both"/>
                        <w:rPr>
                          <w:color w:val="000000"/>
                        </w:rPr>
                      </w:pPr>
                      <w:r>
                        <w:rPr>
                          <w:rFonts w:eastAsia="Calibri" w:cs="" w:cstheme="minorBidi" w:eastAsiaTheme="minorHAnsi"/>
                          <w:color w:val="000000"/>
                          <w:sz w:val="28"/>
                          <w:szCs w:val="28"/>
                          <w:lang w:eastAsia="en-US"/>
                        </w:rPr>
                        <w:t>к постановлению администрации Савинского муниципального района Ивановской области</w:t>
                      </w:r>
                    </w:p>
                    <w:p>
                      <w:pPr>
                        <w:pStyle w:val="Style23"/>
                        <w:overflowPunct w:val="false"/>
                        <w:rPr>
                          <w:color w:val="000000"/>
                        </w:rPr>
                      </w:pPr>
                      <w:r>
                        <w:rPr>
                          <w:rFonts w:eastAsia="Calibri" w:cs="" w:cstheme="minorBidi" w:eastAsiaTheme="minorHAnsi"/>
                          <w:color w:val="000000"/>
                          <w:sz w:val="28"/>
                          <w:szCs w:val="28"/>
                          <w:lang w:eastAsia="en-US"/>
                        </w:rPr>
                        <w:t>от 10.11.2023 № 852-п</w:t>
                      </w:r>
                    </w:p>
                  </w:txbxContent>
                </v:textbox>
                <w10:wrap type="none"/>
              </v:rect>
            </w:pict>
          </mc:Fallback>
        </mc:AlternateContent>
      </w:r>
    </w:p>
    <w:p>
      <w:pPr>
        <w:pStyle w:val="Normal"/>
        <w:spacing w:lineRule="auto" w:line="276" w:before="0" w:after="200"/>
        <w:jc w:val="right"/>
        <w:rPr>
          <w:sz w:val="28"/>
          <w:szCs w:val="28"/>
        </w:rPr>
      </w:pPr>
      <w:r>
        <w:rPr>
          <w:sz w:val="28"/>
          <w:szCs w:val="28"/>
        </w:rPr>
      </w:r>
    </w:p>
    <w:p>
      <w:pPr>
        <w:pStyle w:val="Normal"/>
        <w:spacing w:lineRule="auto" w:line="276" w:before="0" w:after="200"/>
        <w:jc w:val="right"/>
        <w:rPr>
          <w:sz w:val="28"/>
          <w:szCs w:val="28"/>
        </w:rPr>
      </w:pPr>
      <w:r>
        <w:rPr>
          <w:sz w:val="28"/>
          <w:szCs w:val="28"/>
        </w:rPr>
      </w:r>
    </w:p>
    <w:p>
      <w:pPr>
        <w:pStyle w:val="Normal"/>
        <w:spacing w:lineRule="auto" w:line="276" w:before="0" w:after="200"/>
        <w:jc w:val="right"/>
        <w:rPr>
          <w:sz w:val="28"/>
          <w:szCs w:val="28"/>
        </w:rPr>
      </w:pPr>
      <w:r>
        <w:rPr>
          <w:sz w:val="28"/>
          <w:szCs w:val="28"/>
        </w:rPr>
      </w:r>
    </w:p>
    <w:p>
      <w:pPr>
        <w:pStyle w:val="ConsPlusTitle"/>
        <w:spacing w:before="0" w:after="0"/>
        <w:contextualSpacing/>
        <w:jc w:val="center"/>
        <w:rPr>
          <w:sz w:val="28"/>
          <w:szCs w:val="28"/>
        </w:rPr>
      </w:pPr>
      <w:r>
        <w:rPr>
          <w:rFonts w:cs="Times New Roman" w:ascii="Times New Roman" w:hAnsi="Times New Roman"/>
          <w:b/>
          <w:bCs/>
          <w:sz w:val="28"/>
          <w:szCs w:val="28"/>
        </w:rPr>
        <w:t xml:space="preserve">Порядок </w:t>
      </w:r>
    </w:p>
    <w:p>
      <w:pPr>
        <w:pStyle w:val="ConsPlusTitle"/>
        <w:spacing w:before="0" w:after="0"/>
        <w:contextualSpacing/>
        <w:jc w:val="center"/>
        <w:rPr>
          <w:b/>
          <w:bCs/>
        </w:rPr>
      </w:pPr>
      <w:r>
        <w:rPr>
          <w:rFonts w:cs="Times New Roman" w:ascii="Times New Roman" w:hAnsi="Times New Roman"/>
          <w:b/>
          <w:bCs/>
          <w:sz w:val="28"/>
          <w:szCs w:val="28"/>
        </w:rPr>
        <w:t xml:space="preserve">составления и утверждения отчета о результатах деятельности  муниципального  учреждения и об использовании закрепленного за ним </w:t>
      </w:r>
    </w:p>
    <w:p>
      <w:pPr>
        <w:pStyle w:val="ConsPlusTitle"/>
        <w:spacing w:before="0" w:after="0"/>
        <w:contextualSpacing/>
        <w:jc w:val="center"/>
        <w:rPr>
          <w:sz w:val="28"/>
          <w:szCs w:val="28"/>
        </w:rPr>
      </w:pPr>
      <w:r>
        <w:rPr>
          <w:rFonts w:cs="Times New Roman" w:ascii="Times New Roman" w:hAnsi="Times New Roman"/>
          <w:b/>
          <w:bCs/>
          <w:sz w:val="28"/>
          <w:szCs w:val="28"/>
        </w:rPr>
        <w:t>муниципального имущества</w:t>
      </w:r>
    </w:p>
    <w:p>
      <w:pPr>
        <w:pStyle w:val="ConsPlusNormal"/>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tabs>
          <w:tab w:val="clear" w:pos="720"/>
          <w:tab w:val="left" w:pos="567" w:leader="none"/>
        </w:tabs>
        <w:spacing w:before="0" w:after="113"/>
        <w:ind w:left="0" w:hanging="0"/>
        <w:contextualSpacing/>
        <w:jc w:val="center"/>
        <w:outlineLvl w:val="1"/>
        <w:rPr/>
      </w:pPr>
      <w:r>
        <w:rPr>
          <w:rFonts w:cs="Times New Roman" w:ascii="Times New Roman" w:hAnsi="Times New Roman"/>
          <w:b w:val="false"/>
          <w:sz w:val="28"/>
          <w:szCs w:val="28"/>
        </w:rPr>
        <w:t>1. Общие положения</w:t>
      </w:r>
    </w:p>
    <w:p>
      <w:pPr>
        <w:pStyle w:val="ConsPlusNormal"/>
        <w:tabs>
          <w:tab w:val="clear" w:pos="720"/>
          <w:tab w:val="left" w:pos="1134" w:leader="none"/>
        </w:tabs>
        <w:spacing w:before="0" w:after="113"/>
        <w:ind w:firstLine="709"/>
        <w:jc w:val="both"/>
        <w:rPr/>
      </w:pPr>
      <w:r>
        <w:rPr>
          <w:rFonts w:cs="Times New Roman" w:ascii="Times New Roman" w:hAnsi="Times New Roman"/>
          <w:sz w:val="28"/>
          <w:szCs w:val="28"/>
        </w:rPr>
        <w:t>1.1.</w:t>
        <w:tab/>
        <w:t xml:space="preserve"> Настоящий Порядок составления и утверждения </w:t>
      </w:r>
      <w:hyperlink r:id="rId3">
        <w:r>
          <w:rPr>
            <w:rFonts w:cs="Times New Roman" w:ascii="Times New Roman" w:hAnsi="Times New Roman"/>
            <w:sz w:val="28"/>
            <w:szCs w:val="28"/>
          </w:rPr>
          <w:t>отчета</w:t>
        </w:r>
      </w:hyperlink>
      <w:r>
        <w:rPr>
          <w:rFonts w:cs="Times New Roman" w:ascii="Times New Roman" w:hAnsi="Times New Roman"/>
          <w:sz w:val="28"/>
          <w:szCs w:val="28"/>
        </w:rPr>
        <w:t xml:space="preserve"> о результатах деятельности муниципального учреждения и об использовании закрепленного за ним муниципального имущества (далее - Порядок) определяет порядок и сроки составления и утверждения отчета о результатах деятельности подведомственного муниципального бюджетного или казенного учреждения (далее – учреждение) и об использовании закрепленного за ним муниципального имущества (далее - отчет), а также порядок и сроки рассмотрения отчета структурными подразделениями </w:t>
      </w:r>
      <w:r>
        <w:rPr>
          <w:rFonts w:cs="Times New Roman" w:ascii="Times New Roman" w:hAnsi="Times New Roman"/>
          <w:color w:val="000000"/>
          <w:sz w:val="28"/>
          <w:szCs w:val="28"/>
        </w:rPr>
        <w:t>администрации Савинского муниципального района Ивановской области</w:t>
      </w:r>
      <w:r>
        <w:rPr>
          <w:rFonts w:cs="Times New Roman" w:ascii="Times New Roman" w:hAnsi="Times New Roman"/>
          <w:sz w:val="28"/>
          <w:szCs w:val="28"/>
        </w:rPr>
        <w:t>, осуществляющими функции и полномочия учредителя в отношении подведомственных учреждений (далее - главные распорядители бюджетных средств).</w:t>
      </w:r>
    </w:p>
    <w:p>
      <w:pPr>
        <w:pStyle w:val="ConsPlusNormal"/>
        <w:tabs>
          <w:tab w:val="clear" w:pos="720"/>
          <w:tab w:val="left" w:pos="1134" w:leader="none"/>
        </w:tabs>
        <w:spacing w:before="0" w:after="113"/>
        <w:ind w:firstLine="709"/>
        <w:jc w:val="both"/>
        <w:rPr/>
      </w:pPr>
      <w:r>
        <w:rPr>
          <w:rFonts w:cs="Times New Roman" w:ascii="Times New Roman" w:hAnsi="Times New Roman"/>
          <w:sz w:val="28"/>
          <w:szCs w:val="28"/>
        </w:rPr>
        <w:t>1.2.</w:t>
        <w:tab/>
        <w:t xml:space="preserve"> Отчет составляется учреждением в валюте Российской Федерации (в части показателей, формируемых в денежном выражении) по состоянию на 1 января года, следующего за отчетным.</w:t>
      </w:r>
    </w:p>
    <w:p>
      <w:pPr>
        <w:pStyle w:val="ConsPlusNormal"/>
        <w:tabs>
          <w:tab w:val="clear" w:pos="720"/>
          <w:tab w:val="left" w:pos="1134" w:leader="none"/>
        </w:tabs>
        <w:spacing w:before="0" w:after="113"/>
        <w:ind w:firstLine="709"/>
        <w:jc w:val="both"/>
        <w:rPr/>
      </w:pPr>
      <w:r>
        <w:rPr>
          <w:rFonts w:cs="Times New Roman" w:ascii="Times New Roman" w:hAnsi="Times New Roman"/>
          <w:sz w:val="28"/>
          <w:szCs w:val="28"/>
        </w:rPr>
        <w:t xml:space="preserve">1.3. </w:t>
      </w:r>
      <w:r>
        <w:rPr>
          <w:rFonts w:ascii="Times New Roman" w:hAnsi="Times New Roman"/>
          <w:b w:val="false"/>
          <w:i w:val="false"/>
          <w:strike w:val="false"/>
          <w:dstrike w:val="false"/>
          <w:color w:val="000000"/>
          <w:sz w:val="28"/>
          <w:szCs w:val="28"/>
          <w:u w:val="none"/>
          <w:shd w:fill="FFFFFE" w:val="clear"/>
        </w:rPr>
        <w:t>Отчет составляется учреждениями по рекомендуемым образцам, приведенным в Приказе Министерства финансов Российской Федерации от 02.11.2021 №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(далее - Общие требования).</w:t>
      </w:r>
    </w:p>
    <w:p>
      <w:pPr>
        <w:pStyle w:val="ConsPlusNormal"/>
        <w:tabs>
          <w:tab w:val="clear" w:pos="720"/>
          <w:tab w:val="left" w:pos="1134" w:leader="none"/>
        </w:tabs>
        <w:spacing w:before="0" w:after="113"/>
        <w:ind w:firstLine="709"/>
        <w:jc w:val="both"/>
        <w:rPr/>
      </w:pPr>
      <w:r>
        <w:rPr>
          <w:rFonts w:cs="Times New Roman" w:ascii="Times New Roman" w:hAnsi="Times New Roman"/>
          <w:sz w:val="28"/>
          <w:szCs w:val="28"/>
        </w:rPr>
        <w:t>1.4.</w:t>
        <w:tab/>
        <w:t xml:space="preserve"> </w:t>
      </w:r>
      <w:r>
        <w:rPr>
          <w:rFonts w:eastAsia="" w:cs="Times New Roman" w:ascii="Times New Roman" w:hAnsi="Times New Roman" w:eastAsiaTheme="minorEastAsia"/>
          <w:sz w:val="28"/>
          <w:szCs w:val="28"/>
          <w:shd w:fill="FFFFFE" w:val="clear"/>
        </w:rPr>
        <w:t>Отчет составляется и утверждается учреждением в форме бумажного документа с учетом требований действующего законодательства о защите государственной тайны.</w:t>
      </w:r>
    </w:p>
    <w:p>
      <w:pPr>
        <w:pStyle w:val="ConsPlusNormal"/>
        <w:tabs>
          <w:tab w:val="clear" w:pos="720"/>
          <w:tab w:val="left" w:pos="1134" w:leader="none"/>
        </w:tabs>
        <w:spacing w:before="0" w:after="113"/>
        <w:ind w:firstLine="709"/>
        <w:jc w:val="both"/>
        <w:rPr>
          <w:rFonts w:eastAsia="" w:eastAsiaTheme="minorEastAsia"/>
          <w:highlight w:val="yellow"/>
        </w:rPr>
      </w:pPr>
      <w:r>
        <w:rPr>
          <w:rFonts w:eastAsia="" w:cs="Times New Roman" w:ascii="Times New Roman" w:hAnsi="Times New Roman" w:eastAsiaTheme="minorEastAsia"/>
          <w:sz w:val="28"/>
          <w:szCs w:val="28"/>
          <w:shd w:fill="FFFFFE" w:val="clear"/>
        </w:rPr>
        <w:t xml:space="preserve">1.5. </w:t>
      </w:r>
      <w:r>
        <w:rPr>
          <w:rFonts w:eastAsia="" w:cs="Times New Roman" w:ascii="Times New Roman" w:hAnsi="Times New Roman" w:eastAsiaTheme="minorEastAsia"/>
          <w:b w:val="false"/>
          <w:bCs w:val="false"/>
          <w:sz w:val="28"/>
          <w:szCs w:val="28"/>
          <w:shd w:fill="FFFFFE" w:val="clear"/>
        </w:rPr>
        <w:t>Отчет учреждений утверждается руководителем учреждения и представляется главному распорядителю бюджетных средств.</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1.6. Отчеты учреждений утверждаются и представляются в срок до 1 февраля года, следующего за отчетным, или первого рабочего дня, следующего за указанной датой.</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1.7. Главный распорядитель бюджетных средств в течение 10 дней со дня получения отчета рассматривает отчет и в случаях установления факта недостоверности предоставленной учреждением информации и (или) представления указанной информации не в полном объеме направляет требование о доработке с указанием причин, послуживших основанием для необходимости его доработки.</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Учреждение в течение 5 дней со дня получения требования, указанного в абзаце первом настоящего пункта, дорабатывает отчет и повторно направляет его главному распорядителю бюджетных средств.</w:t>
      </w:r>
    </w:p>
    <w:p>
      <w:pPr>
        <w:pStyle w:val="Normal"/>
        <w:spacing w:before="0" w:after="113"/>
        <w:ind w:firstLine="540"/>
        <w:jc w:val="both"/>
        <w:rPr>
          <w:sz w:val="28"/>
          <w:szCs w:val="28"/>
        </w:rPr>
      </w:pPr>
      <w:r>
        <w:rPr>
          <w:rFonts w:eastAsia="Calibri" w:eastAsiaTheme="minorHAnsi"/>
          <w:sz w:val="28"/>
          <w:szCs w:val="28"/>
          <w:lang w:eastAsia="en-US"/>
        </w:rPr>
        <w:t xml:space="preserve">Рассмотрение повторно представленного отчета осуществляется главным распорядителем бюджетных средств в соответствии </w:t>
      </w:r>
      <w:r>
        <w:rPr>
          <w:sz w:val="28"/>
          <w:szCs w:val="28"/>
        </w:rPr>
        <w:t>абзаце первым настоящего пункта</w:t>
      </w:r>
      <w:r>
        <w:rPr>
          <w:rFonts w:eastAsia="Calibri" w:eastAsiaTheme="minorHAnsi"/>
          <w:sz w:val="28"/>
          <w:szCs w:val="28"/>
          <w:lang w:eastAsia="en-US"/>
        </w:rPr>
        <w:t>.</w:t>
      </w:r>
    </w:p>
    <w:p>
      <w:pPr>
        <w:pStyle w:val="ConsPlusNormal"/>
        <w:tabs>
          <w:tab w:val="clear" w:pos="720"/>
          <w:tab w:val="left" w:pos="1134" w:leader="none"/>
        </w:tabs>
        <w:spacing w:before="0" w:after="113"/>
        <w:ind w:firstLine="709"/>
        <w:jc w:val="both"/>
        <w:rPr/>
      </w:pPr>
      <w:r>
        <w:rPr>
          <w:rFonts w:cs="Times New Roman" w:ascii="Times New Roman" w:hAnsi="Times New Roman"/>
          <w:sz w:val="28"/>
          <w:szCs w:val="28"/>
        </w:rPr>
        <w:t>1.8. Показатели отчета, формируемые в денежном выражении, должны быть сопоставимы с показателями, включаемыми в состав бюджетной отчетности казенных учреждений и бухгалтерской отчетности бюджетных учреждений.</w:t>
      </w:r>
    </w:p>
    <w:p>
      <w:pPr>
        <w:pStyle w:val="ConsPlusNormal"/>
        <w:tabs>
          <w:tab w:val="clear" w:pos="720"/>
          <w:tab w:val="left" w:pos="1134" w:leader="none"/>
        </w:tabs>
        <w:spacing w:before="0" w:after="113"/>
        <w:ind w:firstLine="709"/>
        <w:jc w:val="both"/>
        <w:rPr/>
      </w:pPr>
      <w:r>
        <w:rPr>
          <w:rFonts w:cs="Times New Roman" w:ascii="Times New Roman" w:hAnsi="Times New Roman"/>
          <w:color w:val="000000"/>
          <w:sz w:val="28"/>
          <w:szCs w:val="28"/>
        </w:rPr>
        <w:t>1.9. Учреждение размещает утвержденный и рассмотренный главным распорядителем бюджетных средств отчет (в формате структурированной информации и файлов, содержащих электронные копии документов) на официальном сайте в информационно-телекоммуникационной сети «Интернет»</w:t>
      </w:r>
      <w:r>
        <w:rPr>
          <w:rFonts w:cs="Times New Roman" w:ascii="Times New Roman" w:hAnsi="Times New Roman"/>
          <w:color w:val="000000"/>
          <w:sz w:val="28"/>
          <w:szCs w:val="28"/>
          <w:lang w:val="en-US"/>
        </w:rPr>
        <w:t xml:space="preserve"> www.bus.gov.ru </w:t>
      </w:r>
      <w:r>
        <w:rPr>
          <w:rFonts w:cs="Times New Roman" w:ascii="Times New Roman" w:hAnsi="Times New Roman"/>
          <w:color w:val="000000"/>
          <w:sz w:val="28"/>
          <w:szCs w:val="28"/>
          <w:lang w:val="ru-RU"/>
        </w:rPr>
        <w:t>в Личном кабинете учреждения до 01 марта года, следующего за отчетным, или первого рабочего дня, следующего за указанной датой.</w:t>
      </w:r>
    </w:p>
    <w:p>
      <w:pPr>
        <w:pStyle w:val="ConsPlusNormal"/>
        <w:tabs>
          <w:tab w:val="clear" w:pos="720"/>
          <w:tab w:val="left" w:pos="1134" w:leader="none"/>
        </w:tabs>
        <w:spacing w:before="0" w:after="0"/>
        <w:ind w:firstLine="709"/>
        <w:contextualSpacing/>
        <w:jc w:val="both"/>
        <w:rPr>
          <w:sz w:val="28"/>
          <w:szCs w:val="28"/>
        </w:rPr>
      </w:pPr>
      <w:r>
        <w:rPr>
          <w:sz w:val="28"/>
          <w:szCs w:val="28"/>
        </w:rPr>
      </w:r>
    </w:p>
    <w:p>
      <w:pPr>
        <w:pStyle w:val="ConsPlusTitle"/>
        <w:numPr>
          <w:ilvl w:val="0"/>
          <w:numId w:val="0"/>
        </w:numPr>
        <w:tabs>
          <w:tab w:val="clear" w:pos="720"/>
          <w:tab w:val="left" w:pos="567" w:leader="none"/>
        </w:tabs>
        <w:spacing w:before="0" w:after="113"/>
        <w:ind w:left="0" w:hanging="0"/>
        <w:contextualSpacing/>
        <w:jc w:val="center"/>
        <w:outlineLvl w:val="1"/>
        <w:rPr/>
      </w:pPr>
      <w:r>
        <w:rPr>
          <w:rFonts w:cs="Times New Roman" w:ascii="Times New Roman" w:hAnsi="Times New Roman"/>
          <w:b w:val="false"/>
          <w:sz w:val="28"/>
          <w:szCs w:val="28"/>
        </w:rPr>
        <w:t>2. Требования к отчету</w:t>
      </w:r>
    </w:p>
    <w:p>
      <w:pPr>
        <w:pStyle w:val="ConsPlusNormal"/>
        <w:tabs>
          <w:tab w:val="clear" w:pos="720"/>
          <w:tab w:val="left" w:pos="1134" w:leader="none"/>
        </w:tabs>
        <w:spacing w:before="0" w:after="113"/>
        <w:ind w:left="0" w:right="0" w:firstLine="709"/>
        <w:jc w:val="both"/>
        <w:rPr>
          <w:sz w:val="28"/>
          <w:szCs w:val="28"/>
        </w:rPr>
      </w:pPr>
      <w:r>
        <w:rPr>
          <w:rFonts w:cs="Times New Roman" w:ascii="Times New Roman" w:hAnsi="Times New Roman"/>
          <w:sz w:val="28"/>
          <w:szCs w:val="28"/>
        </w:rPr>
        <w:t>2.1.</w:t>
        <w:tab/>
        <w:t xml:space="preserve"> Отчет составляется в разрезе следующих разделов:</w:t>
      </w:r>
    </w:p>
    <w:p>
      <w:pPr>
        <w:pStyle w:val="ConsPlusNormal"/>
        <w:tabs>
          <w:tab w:val="clear" w:pos="720"/>
          <w:tab w:val="left" w:pos="1134" w:leader="none"/>
        </w:tabs>
        <w:spacing w:before="0" w:after="113"/>
        <w:ind w:left="0" w:right="0" w:firstLine="709"/>
        <w:jc w:val="both"/>
        <w:rPr>
          <w:sz w:val="28"/>
          <w:szCs w:val="28"/>
        </w:rPr>
      </w:pPr>
      <w:r>
        <w:rPr>
          <w:rFonts w:cs="Times New Roman" w:ascii="Times New Roman" w:hAnsi="Times New Roman"/>
          <w:sz w:val="28"/>
          <w:szCs w:val="28"/>
        </w:rPr>
        <w:t>раздел 1 «Результаты деятельности»;</w:t>
      </w:r>
    </w:p>
    <w:p>
      <w:pPr>
        <w:pStyle w:val="ConsPlusNormal"/>
        <w:tabs>
          <w:tab w:val="clear" w:pos="720"/>
          <w:tab w:val="left" w:pos="1134" w:leader="none"/>
        </w:tabs>
        <w:spacing w:before="0" w:after="113"/>
        <w:ind w:left="0" w:right="0" w:firstLine="709"/>
        <w:jc w:val="both"/>
        <w:rPr>
          <w:sz w:val="28"/>
          <w:szCs w:val="28"/>
        </w:rPr>
      </w:pPr>
      <w:r>
        <w:rPr>
          <w:rFonts w:cs="Times New Roman" w:ascii="Times New Roman" w:hAnsi="Times New Roman"/>
          <w:sz w:val="28"/>
          <w:szCs w:val="28"/>
        </w:rPr>
        <w:t>раздел 2 «Использование имущества, закрепленного за учреждением».</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2.2.</w:t>
        <w:tab/>
        <w:t xml:space="preserve"> В раздел 1 «Результаты деятельности» включаются:</w:t>
      </w:r>
    </w:p>
    <w:p>
      <w:pPr>
        <w:pStyle w:val="ConsPlusNormal"/>
        <w:tabs>
          <w:tab w:val="clear" w:pos="720"/>
          <w:tab w:val="left" w:pos="1134" w:leader="none"/>
        </w:tabs>
        <w:spacing w:before="0" w:after="113"/>
        <w:ind w:firstLine="709"/>
        <w:jc w:val="both"/>
        <w:rPr/>
      </w:pPr>
      <w:r>
        <w:rPr>
          <w:rFonts w:cs="Times New Roman" w:ascii="Times New Roman" w:hAnsi="Times New Roman"/>
          <w:sz w:val="28"/>
          <w:szCs w:val="28"/>
        </w:rPr>
        <w:t>отчет о выполнении муниципального задания на оказание муниципальных услуг (выполнение работ) (далее - муниципальное задание).    Указанный отчет формируется учреждениями, которым в соответствии с решением главного распорядителя бюджетных средств, осуществляющего функции и полномочия учредителя в отношении данного</w:t>
      </w:r>
      <w:r>
        <w:rPr>
          <w:rFonts w:eastAsia="" w:cs="Times New Roman" w:ascii="Times New Roman" w:hAnsi="Times New Roman" w:eastAsiaTheme="minorEastAsia"/>
          <w:sz w:val="28"/>
          <w:szCs w:val="28"/>
          <w:shd w:fill="FFFFFE" w:val="clear"/>
        </w:rPr>
        <w:t xml:space="preserve"> </w:t>
      </w:r>
      <w:r>
        <w:rPr>
          <w:rFonts w:cs="Times New Roman" w:ascii="Times New Roman" w:hAnsi="Times New Roman"/>
          <w:sz w:val="28"/>
          <w:szCs w:val="28"/>
        </w:rPr>
        <w:t>учреждения, сформировано муниципальное задание;</w:t>
      </w:r>
    </w:p>
    <w:p>
      <w:pPr>
        <w:pStyle w:val="ConsPlusTitle"/>
        <w:spacing w:before="0" w:after="113"/>
        <w:jc w:val="both"/>
        <w:rPr/>
      </w:pPr>
      <w:r>
        <w:rPr>
          <w:rFonts w:cs="Arial" w:ascii="Times New Roman" w:hAnsi="Times New Roman"/>
          <w:b w:val="false"/>
          <w:bCs w:val="false"/>
          <w:sz w:val="28"/>
          <w:szCs w:val="28"/>
        </w:rPr>
        <w:tab/>
        <w:t xml:space="preserve">сведения о поступлениях и выплатах учреждения, формируемые  учреждениями в соответствии с </w:t>
      </w:r>
      <w:hyperlink w:anchor="Par76">
        <w:r>
          <w:rPr>
            <w:rFonts w:cs="Arial" w:ascii="Times New Roman" w:hAnsi="Times New Roman"/>
            <w:b w:val="false"/>
            <w:bCs w:val="false"/>
            <w:color w:val="000000"/>
            <w:sz w:val="28"/>
            <w:szCs w:val="28"/>
          </w:rPr>
          <w:t xml:space="preserve">пунктом </w:t>
        </w:r>
      </w:hyperlink>
      <w:r>
        <w:rPr>
          <w:rFonts w:cs="Arial" w:ascii="Times New Roman" w:hAnsi="Times New Roman"/>
          <w:b w:val="false"/>
          <w:bCs w:val="false"/>
          <w:color w:val="000000"/>
          <w:sz w:val="28"/>
          <w:szCs w:val="28"/>
        </w:rPr>
        <w:t>3.2.</w:t>
      </w:r>
      <w:r>
        <w:rPr>
          <w:rFonts w:cs="Arial" w:ascii="Times New Roman" w:hAnsi="Times New Roman"/>
          <w:b w:val="false"/>
          <w:bCs w:val="false"/>
          <w:sz w:val="28"/>
          <w:szCs w:val="28"/>
        </w:rPr>
        <w:t xml:space="preserve"> настоящего Порядка;</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сведения об оказываемых услугах, выполняемых работах сверх установленного муниципального задания, а также выпускаемой продукции, формируемые в соответствии с пунктом 3.3. настоящего Порядка;</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формируемые в соответствии с пунктом 3.4. настоящего Порядка;</w:t>
      </w:r>
    </w:p>
    <w:p>
      <w:pPr>
        <w:pStyle w:val="ConsPlusNormal"/>
        <w:spacing w:before="0" w:after="113"/>
        <w:jc w:val="both"/>
        <w:rPr/>
      </w:pPr>
      <w:r>
        <w:rPr>
          <w:rFonts w:cs="Arial" w:ascii="Times New Roman" w:hAnsi="Times New Roman"/>
          <w:b w:val="false"/>
          <w:bCs w:val="false"/>
          <w:sz w:val="28"/>
          <w:szCs w:val="28"/>
        </w:rPr>
        <w:tab/>
        <w:t xml:space="preserve">сведения о кредиторской задолженности и обязательствах учреждения, формируемые в соответствии с </w:t>
      </w:r>
      <w:hyperlink w:anchor="Par108">
        <w:r>
          <w:rPr>
            <w:rFonts w:cs="Arial" w:ascii="Times New Roman" w:hAnsi="Times New Roman"/>
            <w:b w:val="false"/>
            <w:bCs w:val="false"/>
            <w:color w:val="000000"/>
            <w:sz w:val="28"/>
            <w:szCs w:val="28"/>
          </w:rPr>
          <w:t xml:space="preserve">пунктом </w:t>
        </w:r>
      </w:hyperlink>
      <w:r>
        <w:rPr>
          <w:rFonts w:cs="Arial" w:ascii="Times New Roman" w:hAnsi="Times New Roman"/>
          <w:b w:val="false"/>
          <w:bCs w:val="false"/>
          <w:color w:val="000000"/>
          <w:sz w:val="28"/>
          <w:szCs w:val="28"/>
        </w:rPr>
        <w:t xml:space="preserve">3.5. </w:t>
      </w:r>
      <w:r>
        <w:rPr>
          <w:rFonts w:cs="Arial" w:ascii="Times New Roman" w:hAnsi="Times New Roman"/>
          <w:b w:val="false"/>
          <w:bCs w:val="false"/>
          <w:sz w:val="28"/>
          <w:szCs w:val="28"/>
        </w:rPr>
        <w:t>настоящего Порядка;</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сведения о просроченной кредиторской задолженности, формируемые в соответствии с пунктом 3.6. настоящего Порядка;</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сведения о задолженности по ущербу, недостачам, хищениям денежных средств и материальных ценностей, формируемые в соответствии с пунктом 3.7. настоящего Порядка;</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сведения о численности сотрудников и оплате труда, формируемые в соответствии с пунктом 3.8. настоящего Порядка;</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сведения о счетах учреждения, открытых в кредитных организациях, формируемые в соответствии с пунктом 3.9. настоящего Порядка.</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2.3.</w:t>
        <w:tab/>
        <w:t xml:space="preserve"> В раздел 2 «Использование имущества, закрепленного за учреждением» включаются:</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сведения о недвижимом имуществе, за исключением земельных участков (далее - сведения о недвижимом имуществе), закрепленном на праве оперативного управления, формируемые в соответствии с пунктом 3.10. настоящего Порядка;</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сведения о земельных участках, предоставленных на праве постоянного (бессрочного) пользования (далее - сведения об использовании земельных участков), формируемые в соответствии с пунктом 3.11. настоящего Порядка;</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сведения о недвижимом имуществе, используемом по договору аренды, формируемые в соответствии с пунктом 3.12. настоящего Порядка;</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сведения о недвижимом имуществе, используемом по договору безвозмездного пользования (договору ссуды), формируемые в соответствии с пунктом 3.13. настоящего Порядка;</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сведения об особо ценном движимом имуществе (за исключением транспортных средств), формируемые в соответствии с пунктом 3.14. настоящего Порядка;</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сведения о транспортных средствах, формируемые в соответствии с пунктом 3.15. настоящего Порядка:</w:t>
      </w:r>
    </w:p>
    <w:p>
      <w:pPr>
        <w:pStyle w:val="ConsPlusTitle"/>
        <w:spacing w:before="0" w:after="113"/>
        <w:jc w:val="both"/>
        <w:rPr/>
      </w:pPr>
      <w:r>
        <w:rPr>
          <w:rFonts w:cs="Arial" w:ascii="Times New Roman" w:hAnsi="Times New Roman"/>
          <w:b w:val="false"/>
          <w:bCs w:val="false"/>
          <w:sz w:val="28"/>
          <w:szCs w:val="28"/>
        </w:rPr>
        <w:t xml:space="preserve">         </w:t>
      </w:r>
      <w:r>
        <w:rPr>
          <w:rFonts w:cs="Arial" w:ascii="Times New Roman" w:hAnsi="Times New Roman"/>
          <w:b w:val="false"/>
          <w:bCs w:val="false"/>
          <w:sz w:val="28"/>
          <w:szCs w:val="28"/>
        </w:rPr>
        <w:t>сведения об имуществе, за исключением земельных участков, переданном в аренду, формируемые в соответствии с</w:t>
      </w:r>
      <w:r>
        <w:rPr>
          <w:rFonts w:cs="Arial" w:ascii="Times New Roman" w:hAnsi="Times New Roman"/>
          <w:b w:val="false"/>
          <w:bCs w:val="false"/>
          <w:color w:val="000000"/>
          <w:sz w:val="28"/>
          <w:szCs w:val="28"/>
        </w:rPr>
        <w:t xml:space="preserve"> </w:t>
      </w:r>
      <w:hyperlink w:anchor="Par133">
        <w:r>
          <w:rPr>
            <w:rFonts w:cs="Arial" w:ascii="Times New Roman" w:hAnsi="Times New Roman"/>
            <w:b w:val="false"/>
            <w:bCs w:val="false"/>
            <w:color w:val="000000"/>
            <w:sz w:val="28"/>
            <w:szCs w:val="28"/>
          </w:rPr>
          <w:t xml:space="preserve">пунктом </w:t>
        </w:r>
      </w:hyperlink>
      <w:r>
        <w:rPr>
          <w:rFonts w:cs="Arial" w:ascii="Times New Roman" w:hAnsi="Times New Roman"/>
          <w:b w:val="false"/>
          <w:bCs w:val="false"/>
          <w:color w:val="000000"/>
          <w:sz w:val="28"/>
          <w:szCs w:val="28"/>
        </w:rPr>
        <w:t>3.16.</w:t>
      </w:r>
      <w:r>
        <w:rPr>
          <w:rFonts w:cs="Arial" w:ascii="Times New Roman" w:hAnsi="Times New Roman"/>
          <w:b w:val="false"/>
          <w:bCs w:val="false"/>
          <w:sz w:val="28"/>
          <w:szCs w:val="28"/>
        </w:rPr>
        <w:t xml:space="preserve"> настоящего Порядка:</w:t>
      </w:r>
    </w:p>
    <w:p>
      <w:pPr>
        <w:pStyle w:val="ConsPlusTitle"/>
        <w:spacing w:before="0" w:after="113"/>
        <w:jc w:val="center"/>
        <w:rPr/>
      </w:pPr>
      <w:r>
        <w:rPr>
          <w:rFonts w:cs="Arial" w:ascii="Times New Roman" w:hAnsi="Times New Roman"/>
          <w:b w:val="false"/>
          <w:bCs w:val="false"/>
          <w:sz w:val="28"/>
          <w:szCs w:val="28"/>
        </w:rPr>
        <w:tab/>
      </w:r>
      <w:r>
        <w:rPr>
          <w:rFonts w:cs="Times New Roman" w:ascii="Times New Roman" w:hAnsi="Times New Roman"/>
          <w:b w:val="false"/>
          <w:sz w:val="28"/>
          <w:szCs w:val="28"/>
        </w:rPr>
        <w:t>3. Порядок формирования сведений, включаемых в отчет</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3.1.</w:t>
        <w:tab/>
        <w:t xml:space="preserve"> В отчете о выполнении муниципального задания отражаются сведения о муниципальных услугах и работах, включенных в муниципальное задание (показатель, характеризующий содержание муниципальной услуги (работы), плановые показатели объема муниципальной услуги (работы), показатели объема оказанных муниципальных услуг (выполненных работ) на отчетную дату, причину отклонения от установленных плановых показателей объема муниципальной услуги (работы).</w:t>
      </w:r>
    </w:p>
    <w:p>
      <w:pPr>
        <w:pStyle w:val="ConsPlusNormal"/>
        <w:spacing w:before="0" w:after="113"/>
        <w:jc w:val="both"/>
        <w:rPr>
          <w:sz w:val="28"/>
          <w:szCs w:val="28"/>
        </w:rPr>
      </w:pPr>
      <w:r>
        <w:rPr>
          <w:rFonts w:cs="Times New Roman" w:ascii="Times New Roman" w:hAnsi="Times New Roman"/>
          <w:sz w:val="28"/>
          <w:szCs w:val="28"/>
        </w:rPr>
        <w:tab/>
        <w:t xml:space="preserve">3.2. </w:t>
      </w:r>
      <w:r>
        <w:rPr>
          <w:rFonts w:cs="Arial"/>
          <w:b/>
          <w:bCs/>
          <w:sz w:val="20"/>
          <w:szCs w:val="20"/>
        </w:rPr>
        <w:t xml:space="preserve"> </w:t>
      </w:r>
      <w:r>
        <w:rPr>
          <w:rFonts w:cs="Arial" w:ascii="Times New Roman" w:hAnsi="Times New Roman"/>
          <w:b w:val="false"/>
          <w:bCs w:val="false"/>
          <w:sz w:val="28"/>
          <w:szCs w:val="28"/>
        </w:rPr>
        <w:t>В сведениях о поступлениях и выплатах учреждения должна отражаться информация об объеме поступлений за отчетный финансовый год и год, предшествующий отчетному, и выплат за отчетный финансовый год.</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Информация о поступлениях формируется с указанием:</w:t>
      </w:r>
    </w:p>
    <w:p>
      <w:pPr>
        <w:pStyle w:val="ConsPlusNormal"/>
        <w:spacing w:before="0" w:after="113"/>
        <w:jc w:val="both"/>
        <w:rPr/>
      </w:pPr>
      <w:r>
        <w:rPr>
          <w:rFonts w:cs="Arial" w:ascii="Times New Roman" w:hAnsi="Times New Roman"/>
          <w:b w:val="false"/>
          <w:bCs w:val="false"/>
          <w:sz w:val="28"/>
          <w:szCs w:val="28"/>
        </w:rPr>
        <w:tab/>
        <w:t xml:space="preserve">объема поступлений из бюджетов бюджетной системы Российской Федерации, включая субсидии на финансовое обеспечение выполнения </w:t>
      </w:r>
      <w:r>
        <w:rPr>
          <w:rFonts w:eastAsia="" w:cs="Arial" w:ascii="Times New Roman" w:hAnsi="Times New Roman" w:eastAsiaTheme="minorEastAsia"/>
          <w:b w:val="false"/>
          <w:bCs w:val="false"/>
          <w:sz w:val="28"/>
          <w:szCs w:val="28"/>
          <w:shd w:fill="FFFFFE" w:val="clear"/>
        </w:rPr>
        <w:t>муниципального задания</w:t>
      </w:r>
      <w:r>
        <w:rPr>
          <w:rFonts w:cs="Arial" w:ascii="Times New Roman" w:hAnsi="Times New Roman"/>
          <w:b w:val="false"/>
          <w:bCs w:val="false"/>
          <w:sz w:val="28"/>
          <w:szCs w:val="28"/>
        </w:rPr>
        <w:t xml:space="preserve">, субсидии, предоставляемые в соответствии с </w:t>
      </w:r>
      <w:hyperlink r:id="rId4">
        <w:r>
          <w:rPr>
            <w:rFonts w:cs="Arial" w:ascii="Times New Roman" w:hAnsi="Times New Roman"/>
            <w:b w:val="false"/>
            <w:bCs w:val="false"/>
            <w:color w:val="000000"/>
            <w:sz w:val="28"/>
            <w:szCs w:val="28"/>
          </w:rPr>
          <w:t>абзацем вторым пункта 1 статьи 78.1</w:t>
        </w:r>
      </w:hyperlink>
      <w:r>
        <w:rPr>
          <w:rFonts w:cs="Arial" w:ascii="Times New Roman" w:hAnsi="Times New Roman"/>
          <w:b w:val="false"/>
          <w:bCs w:val="false"/>
          <w:color w:val="000000"/>
          <w:sz w:val="28"/>
          <w:szCs w:val="28"/>
        </w:rPr>
        <w:t>.</w:t>
      </w:r>
      <w:r>
        <w:rPr>
          <w:rFonts w:cs="Arial" w:ascii="Times New Roman" w:hAnsi="Times New Roman"/>
          <w:b w:val="false"/>
          <w:bCs w:val="false"/>
          <w:sz w:val="28"/>
          <w:szCs w:val="28"/>
        </w:rPr>
        <w:t xml:space="preserve"> Бюджетного кодекса Российской Федерации, субсидии на осуществление капитальных вложений, гранты в форме субсидий, с обособлением информации об объемах предоставленных учреждению грантов в форме субсидий, предоставленных соответственно из федерального бюджета, из бюджетов субъектов Российской Федерации и местных бюджетов;</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объема поступлений в форме грантов, предоставляемых юридическими и физическими лицами (за исключением грантов в форме субсидий, предоставляемых из бюджетов бюджетной системы Российской Федерации), пожертвований и иных безвозмездных перечислений от физических и юридических лиц, в том числе иностранных организаций;</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объема поступлений от приносящей доход деятельности, компенсации затрат, с обособлением информации:</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 xml:space="preserve">об объеме доходов в виде платы за оказание услуг (выполнение работ) в рамках установленного </w:t>
      </w:r>
      <w:r>
        <w:rPr>
          <w:rFonts w:eastAsia="" w:ascii="Times New Roman" w:hAnsi="Times New Roman" w:eastAsiaTheme="minorEastAsia"/>
          <w:b w:val="false"/>
          <w:bCs w:val="false"/>
          <w:sz w:val="28"/>
          <w:szCs w:val="28"/>
          <w:shd w:fill="FFFFFE" w:val="clear"/>
        </w:rPr>
        <w:t>муниципальног</w:t>
      </w:r>
      <w:r>
        <w:rPr>
          <w:rFonts w:ascii="Times New Roman" w:hAnsi="Times New Roman"/>
          <w:b w:val="false"/>
          <w:bCs w:val="false"/>
          <w:sz w:val="28"/>
          <w:szCs w:val="28"/>
          <w:shd w:fill="FFFFFE" w:val="clear"/>
        </w:rPr>
        <w:t>о</w:t>
      </w:r>
      <w:r>
        <w:rPr>
          <w:rFonts w:ascii="Times New Roman" w:hAnsi="Times New Roman"/>
          <w:b w:val="false"/>
          <w:bCs w:val="false"/>
          <w:sz w:val="28"/>
          <w:szCs w:val="28"/>
        </w:rPr>
        <w:t xml:space="preserve"> задания, доходов от оказания услуг, выполнения работ, реализации готовой продукции сверх установленного </w:t>
      </w:r>
      <w:r>
        <w:rPr>
          <w:rFonts w:eastAsia="" w:ascii="Times New Roman" w:hAnsi="Times New Roman" w:eastAsiaTheme="minorEastAsia"/>
          <w:b w:val="false"/>
          <w:bCs w:val="false"/>
          <w:sz w:val="28"/>
          <w:szCs w:val="28"/>
          <w:shd w:fill="FFFFFE" w:val="clear"/>
        </w:rPr>
        <w:t>муниципально</w:t>
      </w:r>
      <w:r>
        <w:rPr>
          <w:rFonts w:ascii="Times New Roman" w:hAnsi="Times New Roman"/>
          <w:b w:val="false"/>
          <w:bCs w:val="false"/>
          <w:sz w:val="28"/>
          <w:szCs w:val="28"/>
          <w:shd w:fill="FFFFFE" w:val="clear"/>
        </w:rPr>
        <w:t>го</w:t>
      </w:r>
      <w:r>
        <w:rPr>
          <w:rFonts w:ascii="Times New Roman" w:hAnsi="Times New Roman"/>
          <w:b w:val="false"/>
          <w:bCs w:val="false"/>
          <w:sz w:val="28"/>
          <w:szCs w:val="28"/>
        </w:rPr>
        <w:t xml:space="preserve"> задания по видам деятельности, отнесенным в соответствии с учредительными документами к основным;</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об объеме доходов от платы за пользование служебными жилыми помещениями и общежитиями, включающей плату за пользование и плату за содержание жилого помещения;</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об объеме доходов от оказания услуг в рамках обязательного медицинского страхования;</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об объеме доходов от оказания медицинских услуг, предоставляемых женщинам в период беременности, женщинам и новорожденным в период родов и в послеродовой период;</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об объеме доходов от возмещения расходов, понесенных в связи с эксплуатацией имущества, находящегося в оперативном управлении учреждения;</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об объеме прочих доходов от оказания услуг, выполнения работ, компенсации затрат учреждения, включая возмещение расходов по решению судов (возмещение судебных издержек);</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объема поступлений доходов от собственности с обособлением информации:</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об объеме доходов в виде арендной либо иной платы за передачу в возмездное пользование государственного (муниципального) имущества;</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об объеме доходов от распоряжения правами на результаты интеллектуальной деятельности и средствами индивидуализации;</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об объеме доходов в виде процентов по депозитам и процентов по остаткам средств на счетах учреждения;</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об объеме доходов в виде процентов, полученных от предоставления займов, доходов в виде процентов по иным финансовым инструментам,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объема поступлений доходов от штрафов, пеней, неустоек, возмещения ущерба;</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объема доходов от выбытия финансовых и нефинансовых активов.</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Информация о выплатах формируется с указанием:</w:t>
      </w:r>
    </w:p>
    <w:p>
      <w:pPr>
        <w:pStyle w:val="ConsPlusNormal"/>
        <w:spacing w:before="0" w:after="113"/>
        <w:jc w:val="both"/>
        <w:rPr/>
      </w:pPr>
      <w:r>
        <w:rPr>
          <w:rFonts w:ascii="Times New Roman" w:hAnsi="Times New Roman"/>
          <w:b w:val="false"/>
          <w:bCs w:val="false"/>
          <w:sz w:val="28"/>
          <w:szCs w:val="28"/>
        </w:rPr>
        <w:tab/>
        <w:t>объема выплат по оплате труда и компенсационных выплат работникам;</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объема выплат по перечислению взносов по обязательному социальному страхованию;</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объема выплат по приобретению товаров, работ, услуг с обособлением информации по оплате услуг связи, транспортных услуг, коммунальных услуг, арендной платы за пользование имуществом, работ, услуг по содержанию имущества, прочих работ, услуг, приобретению основных средств, нематериальных активов, непроизведенных активов, материальных запасов;</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объема выплат по обслуживанию долговых обязательств;</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объема выплат по безвозмездному перечислению организациям;</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объема выплат по социальному обеспечению;</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объема выплат, связанных с уплатой налогов, сборов, прочих платежей в бюджет (по видам налогов);</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объема выплат, направленных на приобретение финансовых активов;</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объема выплат в целях денежных обеспечений;</w:t>
      </w:r>
    </w:p>
    <w:p>
      <w:pPr>
        <w:pStyle w:val="ConsPlusNormal"/>
        <w:spacing w:before="0" w:after="113"/>
        <w:jc w:val="both"/>
        <w:rPr>
          <w:rFonts w:ascii="Times New Roman" w:hAnsi="Times New Roman"/>
          <w:b w:val="false"/>
          <w:bCs w:val="false"/>
          <w:sz w:val="28"/>
          <w:szCs w:val="28"/>
        </w:rPr>
      </w:pPr>
      <w:r>
        <w:rPr>
          <w:rFonts w:ascii="Times New Roman" w:hAnsi="Times New Roman"/>
          <w:b w:val="false"/>
          <w:bCs w:val="false"/>
          <w:sz w:val="28"/>
          <w:szCs w:val="28"/>
        </w:rPr>
        <w:tab/>
        <w:t>объема перечислений на депозитные счета.</w:t>
      </w:r>
    </w:p>
    <w:p>
      <w:pPr>
        <w:pStyle w:val="ConsPlusNormal"/>
        <w:tabs>
          <w:tab w:val="clear" w:pos="720"/>
          <w:tab w:val="left" w:pos="1134" w:leader="none"/>
        </w:tabs>
        <w:spacing w:before="0" w:after="113"/>
        <w:ind w:firstLine="709"/>
        <w:jc w:val="both"/>
        <w:rPr>
          <w:sz w:val="28"/>
          <w:szCs w:val="28"/>
        </w:rPr>
      </w:pPr>
      <w:bookmarkStart w:id="2" w:name="P102"/>
      <w:bookmarkEnd w:id="2"/>
      <w:r>
        <w:rPr>
          <w:rFonts w:cs="Times New Roman" w:ascii="Times New Roman" w:hAnsi="Times New Roman"/>
          <w:sz w:val="28"/>
          <w:szCs w:val="28"/>
        </w:rPr>
        <w:t xml:space="preserve">3.3. </w:t>
        <w:tab/>
        <w:t>В сведениях об оказываемых услугах, выполняемых работах сверх установленного муниципального задания, а также выпускаемой продукции отражается информация о муниципальных услугах (работах), оказываемых (выполняемых) за плату, включая сведения об иных видах деятельности, не относящихся к основным, с указанием информации о показателях объема оказанных муниципальных услуг (выполненных работ, произведенной продукции), доходах, полученных учреждением от оказания платных муниципальных услуг (выполнения работ), ценах (тарифах) на платные муниципальные услуги (работы), оказываемых (выполняемых) потребителям за плату, а также справочная информация о реквизитах акта, которым установлены указанные цены (тарифы).</w:t>
      </w:r>
    </w:p>
    <w:p>
      <w:pPr>
        <w:pStyle w:val="ConsPlusNormal"/>
        <w:tabs>
          <w:tab w:val="clear" w:pos="720"/>
          <w:tab w:val="left" w:pos="1134" w:leader="none"/>
        </w:tabs>
        <w:spacing w:before="0" w:after="113"/>
        <w:ind w:firstLine="709"/>
        <w:jc w:val="both"/>
        <w:rPr>
          <w:sz w:val="28"/>
          <w:szCs w:val="28"/>
        </w:rPr>
      </w:pPr>
      <w:bookmarkStart w:id="3" w:name="P103"/>
      <w:bookmarkEnd w:id="3"/>
      <w:r>
        <w:rPr>
          <w:rFonts w:cs="Times New Roman" w:ascii="Times New Roman" w:hAnsi="Times New Roman"/>
          <w:sz w:val="28"/>
          <w:szCs w:val="28"/>
        </w:rPr>
        <w:t>3.4.</w:t>
        <w:tab/>
        <w:t xml:space="preserve"> В сведениях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отражается информация о наименовании организации (предприятия) с долей участия учреждения во вкладе в уставном (складочном) капитале, с указанием идентификационного номера налогоплательщика, кода по Общероссийскому классификатору организационно-правовых форм, даты создания, основного вида деятельности, суммы вложений в уставный капитал, вида вложений (денежные средства, имущество, право пользования нематериальными активами), дохода (части прибыли (дивидендов) хозяйственного товарищества, общества), приходящаяся к получению учреждением за отчетный период, а также о задолженности перед учреждением по перечислению части прибыли (дивидендов) на начало года и конец отчетного периода.</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При отсутствии у учреждения вкладов в уставные (складочные) капиталы сведения, указанные в абзаце первом настоящего пункта, не формируются.</w:t>
      </w:r>
    </w:p>
    <w:p>
      <w:pPr>
        <w:pStyle w:val="ConsPlusNormal"/>
        <w:spacing w:before="0" w:after="113"/>
        <w:jc w:val="both"/>
        <w:rPr>
          <w:sz w:val="28"/>
          <w:szCs w:val="28"/>
        </w:rPr>
      </w:pPr>
      <w:r>
        <w:rPr>
          <w:rFonts w:cs="Times New Roman" w:ascii="Times New Roman" w:hAnsi="Times New Roman"/>
          <w:sz w:val="28"/>
          <w:szCs w:val="28"/>
        </w:rPr>
        <w:tab/>
        <w:t xml:space="preserve">3.5. </w:t>
      </w:r>
      <w:r>
        <w:rPr>
          <w:rFonts w:cs="Arial" w:ascii="Times New Roman" w:hAnsi="Times New Roman"/>
          <w:b w:val="false"/>
          <w:bCs w:val="false"/>
          <w:sz w:val="28"/>
          <w:szCs w:val="28"/>
        </w:rPr>
        <w:t>В сведениях о кредиторской задолженности и обязательствах учреждения должна отражаться информация:</w:t>
      </w:r>
    </w:p>
    <w:p>
      <w:pPr>
        <w:pStyle w:val="ConsPlusNormal"/>
        <w:spacing w:before="0" w:after="113"/>
        <w:jc w:val="both"/>
        <w:rPr>
          <w:rFonts w:ascii="Times New Roman" w:hAnsi="Times New Roman"/>
          <w:sz w:val="28"/>
          <w:szCs w:val="28"/>
        </w:rPr>
      </w:pPr>
      <w:r>
        <w:rPr>
          <w:rFonts w:ascii="Times New Roman" w:hAnsi="Times New Roman"/>
          <w:sz w:val="28"/>
          <w:szCs w:val="28"/>
        </w:rPr>
        <w:tab/>
        <w:t>об объеме кредиторской задолженности на начало года с обособлением информации об объеме задолженности, срок оплаты которой наступил в отчетном финансовом году;</w:t>
      </w:r>
    </w:p>
    <w:p>
      <w:pPr>
        <w:pStyle w:val="ConsPlusNormal"/>
        <w:spacing w:before="0" w:after="113"/>
        <w:jc w:val="both"/>
        <w:rPr>
          <w:rFonts w:ascii="Times New Roman" w:hAnsi="Times New Roman"/>
          <w:sz w:val="28"/>
          <w:szCs w:val="28"/>
        </w:rPr>
      </w:pPr>
      <w:r>
        <w:rPr>
          <w:rFonts w:ascii="Times New Roman" w:hAnsi="Times New Roman"/>
          <w:sz w:val="28"/>
          <w:szCs w:val="28"/>
        </w:rPr>
        <w:tab/>
        <w:t xml:space="preserve">об объеме кредиторской задолженности на конец отчетного периода с обособлением информации об объеме задолженности, подлежащей оплате в 1 квартале, </w:t>
      </w:r>
      <w:r>
        <w:rPr>
          <w:rFonts w:eastAsia="" w:ascii="Times New Roman" w:hAnsi="Times New Roman" w:eastAsiaTheme="minorEastAsia"/>
          <w:sz w:val="28"/>
          <w:szCs w:val="28"/>
        </w:rPr>
        <w:t xml:space="preserve">в первом месяце 1 квартала, </w:t>
      </w:r>
      <w:r>
        <w:rPr>
          <w:rFonts w:ascii="Times New Roman" w:hAnsi="Times New Roman"/>
          <w:sz w:val="28"/>
          <w:szCs w:val="28"/>
        </w:rPr>
        <w:t>2, 3 и 4 кварталах года, следующего за отчетным годом, а также об объеме задолженности, подлежащей оплате в очередном году и плановом периоде;</w:t>
      </w:r>
    </w:p>
    <w:p>
      <w:pPr>
        <w:pStyle w:val="ConsPlusNormal"/>
        <w:spacing w:before="0" w:after="113"/>
        <w:jc w:val="both"/>
        <w:rPr>
          <w:rFonts w:ascii="Times New Roman" w:hAnsi="Times New Roman"/>
          <w:sz w:val="28"/>
          <w:szCs w:val="28"/>
        </w:rPr>
      </w:pPr>
      <w:r>
        <w:rPr>
          <w:rFonts w:ascii="Times New Roman" w:hAnsi="Times New Roman"/>
          <w:sz w:val="28"/>
          <w:szCs w:val="28"/>
        </w:rPr>
        <w:tab/>
        <w:t>об объеме отложенных обязательств учреждения с обособлением информации об объеме обязательств по оплате труда (компенсации за неиспользованный отпуск), по претензионным требованиям, а также по не поступившим расчетным документам.</w:t>
      </w:r>
    </w:p>
    <w:p>
      <w:pPr>
        <w:pStyle w:val="ConsPlusNormal"/>
        <w:spacing w:before="0" w:after="113"/>
        <w:jc w:val="both"/>
        <w:rPr>
          <w:rFonts w:ascii="Times New Roman" w:hAnsi="Times New Roman"/>
          <w:sz w:val="28"/>
          <w:szCs w:val="28"/>
        </w:rPr>
      </w:pPr>
      <w:r>
        <w:rPr>
          <w:rFonts w:ascii="Times New Roman" w:hAnsi="Times New Roman"/>
          <w:sz w:val="28"/>
          <w:szCs w:val="28"/>
        </w:rPr>
        <w:tab/>
        <w:t>Информация о кредиторской задолженности формируется с обособлением информации о кредиторской задолженности по выплате заработной платы, по выплате стипендий, пособий, пенсий, по перечислениям в бюджет (по видам задолженности), по оплате товаров, работ, услуг, а также по оплате прочих расходов.</w:t>
      </w:r>
    </w:p>
    <w:p>
      <w:pPr>
        <w:pStyle w:val="ConsPlusNormal"/>
        <w:tabs>
          <w:tab w:val="clear" w:pos="720"/>
          <w:tab w:val="left" w:pos="1134" w:leader="none"/>
        </w:tabs>
        <w:spacing w:before="0" w:after="113"/>
        <w:ind w:firstLine="709"/>
        <w:jc w:val="both"/>
        <w:rPr>
          <w:sz w:val="28"/>
          <w:szCs w:val="28"/>
        </w:rPr>
      </w:pPr>
      <w:bookmarkStart w:id="4" w:name="P105"/>
      <w:bookmarkEnd w:id="4"/>
      <w:r>
        <w:rPr>
          <w:rFonts w:cs="Times New Roman" w:ascii="Times New Roman" w:hAnsi="Times New Roman"/>
          <w:sz w:val="28"/>
          <w:szCs w:val="28"/>
        </w:rPr>
        <w:t>3.6.</w:t>
        <w:tab/>
        <w:t xml:space="preserve"> В сведениях о просроченной кредиторской задолженности отражается информация об объеме просроченной кредиторской задолженности на начало года и конец отчетного периода, предельно допустимых значениях просроченной кредиторской задолженности, установленных учредителем, изменении кредиторской задолженности за отчетный период в абсолютной величине и в процентах от общей суммы просроченной задолженности, а также причине образования кредиторской задолженности и мерах, принимаемых по ее погашению.</w:t>
      </w:r>
    </w:p>
    <w:p>
      <w:pPr>
        <w:pStyle w:val="ConsPlusNormal"/>
        <w:tabs>
          <w:tab w:val="clear" w:pos="720"/>
          <w:tab w:val="left" w:pos="1134" w:leader="none"/>
        </w:tabs>
        <w:spacing w:before="0" w:after="113"/>
        <w:ind w:firstLine="709"/>
        <w:jc w:val="both"/>
        <w:rPr>
          <w:sz w:val="28"/>
          <w:szCs w:val="28"/>
        </w:rPr>
      </w:pPr>
      <w:bookmarkStart w:id="5" w:name="P106"/>
      <w:bookmarkEnd w:id="5"/>
      <w:r>
        <w:rPr>
          <w:rFonts w:cs="Times New Roman" w:ascii="Times New Roman" w:hAnsi="Times New Roman"/>
          <w:sz w:val="28"/>
          <w:szCs w:val="28"/>
        </w:rPr>
        <w:t>3.7.</w:t>
        <w:tab/>
        <w:t xml:space="preserve"> В сведениях о задолженности по ущербу, недостачам, хищениям денежных средств и материальных ценностей отражается информация о задолженности контрагентов по возмещению ущерба на начало года и конец отчетного периода, общей сумме нанесенного ущерба, выявленных недостач, хищений, с указанием сумм, по которым виновные лица не установлены, сумм возмещенного ущерба, включая информацию о возмещении ущерба по решению суда и страховыми организациями, а также сумм списанного ущерба.</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В сведениях о задолженности по ущербу, недостачам, хищениям денежных средств и материальных ценностей также отражается информация об ущербе материальным ценностям (порче имущества), сумме предварительных оплат, не возвращенным контрагентом в случае расторжения договоров (контрактов, соглашений), в том числе по решению суда, сумме задолженности подотчетных лиц, своевременно не возвращенной (не удержанной из заработной платы), а также сумме неустойки (штрафов, пеней), в связи с нарушением контрагентом условий договоров (контрактов, соглашений).</w:t>
      </w:r>
    </w:p>
    <w:p>
      <w:pPr>
        <w:pStyle w:val="ConsPlusNormal"/>
        <w:tabs>
          <w:tab w:val="clear" w:pos="720"/>
          <w:tab w:val="left" w:pos="1134" w:leader="none"/>
        </w:tabs>
        <w:spacing w:before="0" w:after="113"/>
        <w:ind w:firstLine="709"/>
        <w:jc w:val="both"/>
        <w:rPr>
          <w:sz w:val="28"/>
          <w:szCs w:val="28"/>
        </w:rPr>
      </w:pPr>
      <w:bookmarkStart w:id="6" w:name="P108"/>
      <w:bookmarkEnd w:id="6"/>
      <w:r>
        <w:rPr>
          <w:rFonts w:cs="Times New Roman" w:ascii="Times New Roman" w:hAnsi="Times New Roman"/>
          <w:sz w:val="28"/>
          <w:szCs w:val="28"/>
        </w:rPr>
        <w:t>3.8.</w:t>
        <w:tab/>
        <w:t xml:space="preserve"> В сведениях о численности сотрудников и оплате труда отражается информация о штатной численности (установлено штатным расписанием, замещено, вакантно) на начало года и конец отчетного периода, средней численности сотрудников за отчетный период, с указанием численности сотрудников, работающих по основному месту работы, на условиях внутреннего совместительства, внешнего совместительства, а также информация о численности сотрудников, выполняющих работу без заключения трудового договора (по договорам гражданско-правового характера).</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Сведения о численности сотрудников формируются по группам (категориям) персонала, включая административно-управленческий персонал, основной персонал, вспомогательный.</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Информация о численности административно-управленческого персонала формируется с указанием численности заместителей руководителя учреждения, руководителей структурных подразделений.</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Информация о численности основного персонала формируется с указанием численности категорий работников, установленных Указом Президента Российской Федерации от 07.05.2012 № 597 «О мероприятиях по реализации государственной социальной политики».</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Сведения об оплате труда формируются по группам (категориям) персонала с обособлением информации об оплате труда работников, работающих по основному месту работы, в том числе занятых на условиях полного и неполного рабочего времени, внутреннего совместительства, внешнего совместительства, а также оплате вознаграждения лицам, выполняющим работу без заключения трудового договора (по договорам гражданско-правового характера).</w:t>
      </w:r>
    </w:p>
    <w:p>
      <w:pPr>
        <w:pStyle w:val="ConsPlusNormal"/>
        <w:tabs>
          <w:tab w:val="clear" w:pos="720"/>
          <w:tab w:val="left" w:pos="1134" w:leader="none"/>
        </w:tabs>
        <w:spacing w:before="0" w:after="113"/>
        <w:ind w:firstLine="709"/>
        <w:jc w:val="both"/>
        <w:rPr>
          <w:sz w:val="28"/>
          <w:szCs w:val="28"/>
        </w:rPr>
      </w:pPr>
      <w:bookmarkStart w:id="7" w:name="P117"/>
      <w:bookmarkEnd w:id="7"/>
      <w:r>
        <w:rPr>
          <w:rFonts w:cs="Times New Roman" w:ascii="Times New Roman" w:hAnsi="Times New Roman"/>
          <w:sz w:val="28"/>
          <w:szCs w:val="28"/>
        </w:rPr>
        <w:t>3.9. В сведениях о счетах учреждения, открытых в кредитных организациях, отражается информация о номерах счетов, открытых в кредитных организациях в валюте Российской Федерации и иностранной валюте, с указанием вида счета, реквизитов акта, в соответствии с которым открыт счет в кредитной организации, остатка средств на счете на начало года и конец отчетного периода.</w:t>
      </w:r>
    </w:p>
    <w:p>
      <w:pPr>
        <w:pStyle w:val="ConsPlusNormal"/>
        <w:tabs>
          <w:tab w:val="clear" w:pos="720"/>
          <w:tab w:val="left" w:pos="1134" w:leader="none"/>
        </w:tabs>
        <w:spacing w:before="0" w:after="113"/>
        <w:ind w:firstLine="709"/>
        <w:jc w:val="both"/>
        <w:rPr>
          <w:sz w:val="28"/>
          <w:szCs w:val="28"/>
        </w:rPr>
      </w:pPr>
      <w:bookmarkStart w:id="8" w:name="P118"/>
      <w:bookmarkEnd w:id="8"/>
      <w:r>
        <w:rPr>
          <w:rFonts w:cs="Times New Roman" w:ascii="Times New Roman" w:hAnsi="Times New Roman"/>
          <w:sz w:val="28"/>
          <w:szCs w:val="28"/>
        </w:rPr>
        <w:t>3.10.</w:t>
        <w:tab/>
        <w:t>В сведениях о недвижимом имуществе, закрепленном на праве оперативного управления, отражается информация, содержащая перечень объектов недвижимого имущества, закрепленного за учреждением на праве оперативного управления, с указанием адреса, кадастрового номера, года постройки, основных технических характеристик объекта (общая площадь объекта, длина (протяженность) линейного объекта, глубина объекта, объем объекта), информации об имуществе, используемом учреждением для осуществления основной деятельности и иных целей, не используемом учреждением, переданном в аренду, в безвозмездное пользование, не используемом в связи с проводимым капитальным ремонтом или реконструкцией, находящемся в аварийном состоянии, требующем ремонта или относительно которого осуществляется согласование решения о списании.</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Дополнительно в сведения о недвижимом имуществе, закрепленном на праве оперативного управления, включается информация о фактических расходах на оплату коммунальных услуг, расходов на содержание указанного имущества, расходов на уплату налогов, в качестве объекта налогообложения по которым признается указанное имущество, с указанием расходов, возмещаемых пользователями имущества.</w:t>
      </w:r>
    </w:p>
    <w:p>
      <w:pPr>
        <w:pStyle w:val="ConsPlusNormal"/>
        <w:tabs>
          <w:tab w:val="clear" w:pos="720"/>
          <w:tab w:val="left" w:pos="1134" w:leader="none"/>
        </w:tabs>
        <w:spacing w:before="0" w:after="113"/>
        <w:ind w:firstLine="709"/>
        <w:jc w:val="both"/>
        <w:rPr>
          <w:sz w:val="28"/>
          <w:szCs w:val="28"/>
        </w:rPr>
      </w:pPr>
      <w:bookmarkStart w:id="9" w:name="P124"/>
      <w:bookmarkEnd w:id="9"/>
      <w:r>
        <w:rPr>
          <w:rFonts w:cs="Times New Roman" w:ascii="Times New Roman" w:hAnsi="Times New Roman"/>
          <w:sz w:val="28"/>
          <w:szCs w:val="28"/>
        </w:rPr>
        <w:t>3.11.</w:t>
        <w:tab/>
        <w:t>В сведениях об использовании земельных участков отражается информация, содержащая перечень земельных участков, предоставленных учреждению на праве постоянного (бессрочного) пользования, с указанием адреса, кадастрового номера, общей площади, информации о площади земельного участка (части земельного участка), используемой учреждением для осуществления основной деятельности и иных целей, не используемой учреждением, переданной в аренду, в безвозмездное пользование, не используемой по иным причинам, земельных участках, в отношении которых заключено соглашение об установлении сервитута.</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Дополнительно в сведения об использовании земельных участков включается информация о фактических расходах на содержание земельных участков, включая эксплуатационные расходы и расходы на уплату земельного налога, в качестве объекта налогообложения по которым признаются указанные земельные участки, с указанием расходов, возмещаемых пользователями земельных участков.</w:t>
      </w:r>
    </w:p>
    <w:p>
      <w:pPr>
        <w:pStyle w:val="ConsPlusNormal"/>
        <w:tabs>
          <w:tab w:val="clear" w:pos="720"/>
          <w:tab w:val="left" w:pos="1134" w:leader="none"/>
        </w:tabs>
        <w:spacing w:before="0" w:after="113"/>
        <w:ind w:firstLine="709"/>
        <w:jc w:val="both"/>
        <w:rPr>
          <w:sz w:val="28"/>
          <w:szCs w:val="28"/>
        </w:rPr>
      </w:pPr>
      <w:bookmarkStart w:id="10" w:name="P130"/>
      <w:bookmarkEnd w:id="10"/>
      <w:r>
        <w:rPr>
          <w:rFonts w:cs="Times New Roman" w:ascii="Times New Roman" w:hAnsi="Times New Roman"/>
          <w:sz w:val="28"/>
          <w:szCs w:val="28"/>
        </w:rPr>
        <w:t>3.12.</w:t>
        <w:tab/>
        <w:t>В сведениях о недвижимом имуществе, используемом по договору аренды, отражается информация, содержащая перечень объектов недвижимого имущества, находящегося у учреждения в пользовании по договору аренды, с указанием наименования и адреса объекта, количества арендуемого имущества, наименования арендодателя с указанием идентификационного номера налогоплательщика и кода по классификации институциональных секторов экономики, срока пользования арендуемым имуществом, размера арендной платы, фактических расходов на содержание арендуемого имущества, направления использования арендуемого имущества, а также обоснование заключения договора аренды.</w:t>
      </w:r>
    </w:p>
    <w:p>
      <w:pPr>
        <w:pStyle w:val="ConsPlusNormal"/>
        <w:tabs>
          <w:tab w:val="clear" w:pos="720"/>
          <w:tab w:val="left" w:pos="1134" w:leader="none"/>
        </w:tabs>
        <w:spacing w:before="0" w:after="113"/>
        <w:ind w:firstLine="709"/>
        <w:jc w:val="both"/>
        <w:rPr>
          <w:sz w:val="28"/>
          <w:szCs w:val="28"/>
        </w:rPr>
      </w:pPr>
      <w:bookmarkStart w:id="11" w:name="P131"/>
      <w:bookmarkEnd w:id="11"/>
      <w:r>
        <w:rPr>
          <w:rFonts w:cs="Times New Roman" w:ascii="Times New Roman" w:hAnsi="Times New Roman"/>
          <w:sz w:val="28"/>
          <w:szCs w:val="28"/>
        </w:rPr>
        <w:t>3.13.</w:t>
        <w:tab/>
        <w:t>В сведениях о недвижимом имуществе, используемом по договору безвозмездного пользования (договору ссуды), отражается информация, содержащая перечень объектов недвижимого имущества, находящегося у учреждения в пользовании по договору безвозмездного пользования (договору ссуды), с указанием наименования и адреса объекта, количества имущества, наименования ссудодателя с указанием идентификационного номера налогоплательщика и кода по классификации институциональных секторов экономики, срока пользования имуществом, фактических расходов на содержание имущества, направления использования имущества, а также обоснование заключения договора безвозмездного пользования (договору ссуды).</w:t>
      </w:r>
    </w:p>
    <w:p>
      <w:pPr>
        <w:pStyle w:val="ConsPlusNormal"/>
        <w:tabs>
          <w:tab w:val="clear" w:pos="720"/>
          <w:tab w:val="left" w:pos="1134" w:leader="none"/>
        </w:tabs>
        <w:spacing w:before="0" w:after="113"/>
        <w:ind w:firstLine="709"/>
        <w:jc w:val="both"/>
        <w:rPr>
          <w:sz w:val="28"/>
          <w:szCs w:val="28"/>
        </w:rPr>
      </w:pPr>
      <w:bookmarkStart w:id="12" w:name="P132"/>
      <w:bookmarkEnd w:id="12"/>
      <w:r>
        <w:rPr>
          <w:rFonts w:cs="Times New Roman" w:ascii="Times New Roman" w:hAnsi="Times New Roman"/>
          <w:sz w:val="28"/>
          <w:szCs w:val="28"/>
        </w:rPr>
        <w:t>3.14.</w:t>
        <w:tab/>
        <w:t>В сведения об особо ценном движимом имуществе (за исключением транспортных средств) включается информация о наличии особо ценного движимого имущества (по группам основных средств), балансовой стоимости и остаточной стоимости имущества.</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Дополнительно в сведения об особо ценном движимом имуществе (за исключением транспортных средств) включается информация о фактических расходах на содержание имущества, включая расходы на техническое обслуживание, текущий и капитальный ремонт, расходы на обязательное и добровольное страхование указанного имущества, на уплату налогов, в качестве объекта налогообложения по которым признается указанное имущество, заработную плату обслуживающего персонала, иные расходы.</w:t>
      </w:r>
    </w:p>
    <w:p>
      <w:pPr>
        <w:pStyle w:val="ConsPlusNormal"/>
        <w:tabs>
          <w:tab w:val="clear" w:pos="720"/>
          <w:tab w:val="left" w:pos="1134" w:leader="none"/>
        </w:tabs>
        <w:spacing w:before="0" w:after="113"/>
        <w:ind w:firstLine="709"/>
        <w:jc w:val="both"/>
        <w:rPr>
          <w:sz w:val="28"/>
          <w:szCs w:val="28"/>
        </w:rPr>
      </w:pPr>
      <w:bookmarkStart w:id="13" w:name="P138"/>
      <w:bookmarkEnd w:id="13"/>
      <w:r>
        <w:rPr>
          <w:rFonts w:cs="Times New Roman" w:ascii="Times New Roman" w:hAnsi="Times New Roman"/>
          <w:sz w:val="28"/>
          <w:szCs w:val="28"/>
        </w:rPr>
        <w:t>3.15.</w:t>
        <w:tab/>
        <w:t>В сведениях о транспортных средствах отражается информация о транспортных средствах, используемых учреждением (с детализацией по видам транспортных средств), в том числе на праве оперативного управления, по договору аренды и безвозмездного пользования (договору ссуды), с обособлением информации о транспортных средствах, используемых для осуществления основной деятельности и иных целей, в том числе в целях обслуживания административно-управленческого персонала, доставки сотрудников к месту работы, для обеспечения перевозки людей (за исключением сотрудников), в том числе обучающихся.</w:t>
      </w:r>
    </w:p>
    <w:p>
      <w:pPr>
        <w:pStyle w:val="ConsPlusNormal"/>
        <w:tabs>
          <w:tab w:val="clear" w:pos="720"/>
          <w:tab w:val="left" w:pos="1134" w:leader="none"/>
        </w:tabs>
        <w:spacing w:before="0" w:after="113"/>
        <w:ind w:firstLine="709"/>
        <w:jc w:val="both"/>
        <w:rPr>
          <w:sz w:val="28"/>
          <w:szCs w:val="28"/>
        </w:rPr>
      </w:pPr>
      <w:r>
        <w:rPr>
          <w:rFonts w:cs="Times New Roman" w:ascii="Times New Roman" w:hAnsi="Times New Roman"/>
          <w:sz w:val="28"/>
          <w:szCs w:val="28"/>
        </w:rPr>
        <w:t>Дополнительно в сведения о транспортных средствах включается информация о фактических расходах на содержание транспортных средств, включая расходы на приобретение горюче-смазочных материалов, приобретение комплектующих, техническое обслуживание, ремонт, добровольное и обязательное страхование (включая страхование гражданской ответственности), расходы на содержание гаражей, заработную плату (водителей, механиков, административно-управленческого персонала гаражей), уплату транспортного налога.</w:t>
      </w:r>
    </w:p>
    <w:p>
      <w:pPr>
        <w:pStyle w:val="ConsPlusTitle"/>
        <w:spacing w:before="0" w:after="113"/>
        <w:jc w:val="both"/>
        <w:rPr/>
      </w:pPr>
      <w:r>
        <w:rPr>
          <w:rFonts w:cs="Arial" w:ascii="Times New Roman" w:hAnsi="Times New Roman"/>
          <w:b w:val="false"/>
          <w:bCs w:val="false"/>
          <w:sz w:val="28"/>
          <w:szCs w:val="28"/>
        </w:rPr>
        <w:tab/>
        <w:t>3.16. В сведениях об имуществе, за исключением земельных участков, переданном в аренду, должна отражаться аналитическая информация об имуществе, переданном в аренду, с указанием информации об объектах, переданных в аренду полностью или частично, объеме переданного в пользование имущества, а также направлениях его использования, предусмотренных договором.</w:t>
      </w:r>
    </w:p>
    <w:p>
      <w:pPr>
        <w:pStyle w:val="ConsPlusNormal"/>
        <w:spacing w:before="0" w:after="113"/>
        <w:jc w:val="both"/>
        <w:rPr/>
      </w:pPr>
      <w:bookmarkStart w:id="14" w:name="P140"/>
      <w:bookmarkEnd w:id="14"/>
      <w:r>
        <w:rPr>
          <w:rFonts w:cs="Times New Roman" w:ascii="Times New Roman" w:hAnsi="Times New Roman"/>
          <w:sz w:val="28"/>
          <w:szCs w:val="28"/>
        </w:rPr>
        <w:tab/>
      </w:r>
    </w:p>
    <w:sectPr>
      <w:type w:val="nextPage"/>
      <w:pgSz w:w="11906" w:h="16838"/>
      <w:pgMar w:left="1559" w:right="709"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Arial">
    <w:charset w:val="cc"/>
    <w:family w:val="roman"/>
    <w:pitch w:val="variable"/>
  </w:font>
  <w:font w:name="Verdana">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left"/>
      <w:pPr>
        <w:tabs>
          <w:tab w:val="num" w:pos="0"/>
        </w:tabs>
        <w:ind w:left="720" w:hanging="360"/>
      </w:pPr>
      <w:rPr>
        <w:sz w:val="28"/>
        <w:szCs w:val="28"/>
        <w:rFonts w:ascii="Times New Roman" w:hAnsi="Times New Roman"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b3a52"/>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ab3a52"/>
    <w:rPr>
      <w:rFonts w:ascii="Tahoma" w:hAnsi="Tahoma" w:eastAsia="Times New Roman" w:cs="Tahoma"/>
      <w:sz w:val="16"/>
      <w:szCs w:val="16"/>
      <w:lang w:eastAsia="ru-RU"/>
    </w:rPr>
  </w:style>
  <w:style w:type="character" w:styleId="Style15" w:customStyle="1">
    <w:name w:val="Основной текст Знак"/>
    <w:basedOn w:val="DefaultParagraphFont"/>
    <w:qFormat/>
    <w:rsid w:val="0039754b"/>
    <w:rPr>
      <w:rFonts w:ascii="Times New Roman" w:hAnsi="Times New Roman" w:eastAsia="Times New Roman" w:cs="Times New Roman"/>
      <w:sz w:val="28"/>
      <w:szCs w:val="20"/>
      <w:lang w:eastAsia="ru-RU"/>
    </w:rPr>
  </w:style>
  <w:style w:type="character" w:styleId="-">
    <w:name w:val="Hyperlink"/>
    <w:rPr>
      <w:color w:val="000080"/>
      <w:u w:val="single"/>
    </w:rPr>
  </w:style>
  <w:style w:type="character" w:styleId="WW8Num2z0">
    <w:name w:val="WW8Num2z0"/>
    <w:qFormat/>
    <w:rPr>
      <w:rFonts w:ascii="Times New Roman" w:hAnsi="Times New Roman" w:cs="Times New Roman"/>
      <w:sz w:val="28"/>
      <w:szCs w:val="28"/>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link w:val="Style15"/>
    <w:rsid w:val="0039754b"/>
    <w:pPr/>
    <w:rPr>
      <w:sz w:val="28"/>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BalloonText">
    <w:name w:val="Balloon Text"/>
    <w:basedOn w:val="Normal"/>
    <w:link w:val="Style14"/>
    <w:uiPriority w:val="99"/>
    <w:semiHidden/>
    <w:unhideWhenUsed/>
    <w:qFormat/>
    <w:rsid w:val="00ab3a52"/>
    <w:pPr/>
    <w:rPr>
      <w:rFonts w:ascii="Tahoma" w:hAnsi="Tahoma" w:cs="Tahoma"/>
      <w:sz w:val="16"/>
      <w:szCs w:val="16"/>
    </w:rPr>
  </w:style>
  <w:style w:type="paragraph" w:styleId="ConsPlusTitle" w:customStyle="1">
    <w:name w:val="ConsPlusTitle"/>
    <w:qFormat/>
    <w:rsid w:val="00934967"/>
    <w:pPr>
      <w:widowControl w:val="false"/>
      <w:suppressAutoHyphens w:val="true"/>
      <w:bidi w:val="0"/>
      <w:spacing w:lineRule="auto" w:line="240" w:before="0" w:after="0"/>
      <w:jc w:val="left"/>
    </w:pPr>
    <w:rPr>
      <w:rFonts w:ascii="Arial" w:hAnsi="Arial" w:eastAsia="" w:cs="Arial" w:eastAsiaTheme="minorEastAsia"/>
      <w:b/>
      <w:color w:val="auto"/>
      <w:kern w:val="0"/>
      <w:sz w:val="20"/>
      <w:szCs w:val="22"/>
      <w:lang w:val="ru-RU" w:eastAsia="ru-RU" w:bidi="ar-SA"/>
    </w:rPr>
  </w:style>
  <w:style w:type="paragraph" w:styleId="ConsPlusNormal" w:customStyle="1">
    <w:name w:val="ConsPlusNormal"/>
    <w:qFormat/>
    <w:rsid w:val="00934967"/>
    <w:pPr>
      <w:widowControl w:val="false"/>
      <w:suppressAutoHyphens w:val="true"/>
      <w:bidi w:val="0"/>
      <w:spacing w:lineRule="auto" w:line="240" w:before="0" w:after="0"/>
      <w:jc w:val="left"/>
    </w:pPr>
    <w:rPr>
      <w:rFonts w:ascii="Arial" w:hAnsi="Arial" w:eastAsia="" w:cs="Arial" w:eastAsiaTheme="minorEastAsia"/>
      <w:color w:val="auto"/>
      <w:kern w:val="0"/>
      <w:sz w:val="20"/>
      <w:szCs w:val="22"/>
      <w:lang w:val="ru-RU" w:eastAsia="ru-RU" w:bidi="ar-SA"/>
    </w:rPr>
  </w:style>
  <w:style w:type="paragraph" w:styleId="10" w:customStyle="1">
    <w:name w:val="Знак Знак10"/>
    <w:basedOn w:val="Normal"/>
    <w:qFormat/>
    <w:rsid w:val="00782eed"/>
    <w:pPr>
      <w:spacing w:lineRule="exact" w:line="240" w:before="0" w:after="160"/>
    </w:pPr>
    <w:rPr>
      <w:rFonts w:ascii="Verdana" w:hAnsi="Verdana"/>
      <w:lang w:val="en-US" w:eastAsia="en-US"/>
    </w:rPr>
  </w:style>
  <w:style w:type="paragraph" w:styleId="Style21">
    <w:name w:val="Колонтитул"/>
    <w:basedOn w:val="Normal"/>
    <w:qFormat/>
    <w:pPr>
      <w:suppressLineNumbers/>
      <w:tabs>
        <w:tab w:val="clear" w:pos="720"/>
        <w:tab w:val="center" w:pos="4820" w:leader="none"/>
        <w:tab w:val="right" w:pos="9640" w:leader="none"/>
      </w:tabs>
    </w:pPr>
    <w:rPr/>
  </w:style>
  <w:style w:type="paragraph" w:styleId="Style22">
    <w:name w:val="Header"/>
    <w:basedOn w:val="Style21"/>
    <w:pPr>
      <w:suppressLineNumbers/>
    </w:pPr>
    <w:rPr/>
  </w:style>
  <w:style w:type="paragraph" w:styleId="Style23">
    <w:name w:val="Содержимое врезки"/>
    <w:basedOn w:val="Normal"/>
    <w:qFormat/>
    <w:pPr/>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consultantplus://offline/ref=701A78040ED9D21C8800112AC33B61BA2E40F7959620519CD3A0AAB9143BC72ACD0C9897BA26B4C22B917D49925EBD3EC6719D94A956AF8B2A07F1x6x9E" TargetMode="External"/><Relationship Id="rId4" Type="http://schemas.openxmlformats.org/officeDocument/2006/relationships/hyperlink" Target="consultantplus://offline/ref=AD8A86C59A4E726F888AADEEB84C28D5BFF10D691CBA56AED422C3E05E0C719A2235D19682B7F77EA0B3F6A810717E89E0EA35D77509F8G3M"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73112-4B94-46EA-9535-E1B19F41F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Application>LibreOffice/7.5.2.2$Windows_X86_64 LibreOffice_project/53bb9681a964705cf672590721dbc85eb4d0c3a2</Application>
  <AppVersion>15.0000</AppVersion>
  <Pages>12</Pages>
  <Words>2988</Words>
  <Characters>22143</Characters>
  <CharactersWithSpaces>25138</CharactersWithSpaces>
  <Paragraphs>117</Paragraphs>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2023-11-23T13:29:00Z</dcterms:created>
  <dc:creator>Андрюшина Наталья Сергеевна</dc:creator>
  <dc:description/>
  <dc:language>ru-RU</dc:language>
  <cp:lastModifiedBy/>
  <cp:lastPrinted>2023-11-23T14:08:43Z</cp:lastPrinted>
  <dcterms:modified xsi:type="dcterms:W3CDTF">2023-11-29T10:35:24Z</dcterms:modified>
  <cp:revision>40</cp:revision>
  <dc:subject/>
  <dc:title>Приказ Минфина России от 02.11.2021 N 171н(ред. от 31.01.2023)"Об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имущества"(Зарегистрировано в Минюсте России 13.12.2021 N 66304)</dc:title>
</cp:coreProperties>
</file>

<file path=docProps/custom.xml><?xml version="1.0" encoding="utf-8"?>
<Properties xmlns="http://schemas.openxmlformats.org/officeDocument/2006/custom-properties" xmlns:vt="http://schemas.openxmlformats.org/officeDocument/2006/docPropsVTypes"/>
</file>